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svg="http://schemas.microsoft.com/office/drawing/2016/SVG/main" mc:Ignorable="w14 w15 w16se w16cid w16 w16cex w16sdtdh w16sdtfl w16du wp14">
  <w:body>
    <w:p w:rsidRPr="00ED36E1" w:rsidR="00ED36E1" w:rsidP="018477EE" w:rsidRDefault="00ED36E1" w14:paraId="09FDCF0A" w14:textId="77087F63">
      <w:pPr>
        <w:pStyle w:val="Normal"/>
        <w:spacing w:after="0"/>
        <w:jc w:val="both"/>
        <w:rPr>
          <w:highlight w:val="yellow"/>
        </w:rPr>
      </w:pPr>
    </w:p>
    <w:p w:rsidRPr="00ED36E1" w:rsidR="00ED36E1" w:rsidP="00ED36E1" w:rsidRDefault="00ED36E1" w14:paraId="68FC5ADE" w14:textId="77777777">
      <w:pPr>
        <w:spacing w:after="0"/>
        <w:jc w:val="both"/>
        <w:rPr>
          <w:b/>
          <w:bCs/>
          <w:sz w:val="22"/>
          <w:szCs w:val="22"/>
          <w:highlight w:val="yellow"/>
        </w:rPr>
      </w:pPr>
      <w:r w:rsidRPr="00ED36E1">
        <w:rPr>
          <w:b/>
          <w:bCs/>
          <w:noProof/>
          <w:sz w:val="22"/>
          <w:szCs w:val="22"/>
          <w:highlight w:val="yellow"/>
        </w:rPr>
        <mc:AlternateContent>
          <mc:Choice Requires="wps">
            <w:drawing>
              <wp:anchor distT="0" distB="0" distL="114300" distR="114300" simplePos="0" relativeHeight="251679744" behindDoc="0" locked="0" layoutInCell="1" allowOverlap="1" wp14:anchorId="1B62AD78" wp14:editId="33A58346">
                <wp:simplePos x="0" y="0"/>
                <wp:positionH relativeFrom="column">
                  <wp:posOffset>0</wp:posOffset>
                </wp:positionH>
                <wp:positionV relativeFrom="paragraph">
                  <wp:posOffset>0</wp:posOffset>
                </wp:positionV>
                <wp:extent cx="444502" cy="435546"/>
                <wp:effectExtent l="0" t="0" r="0" b="3175"/>
                <wp:wrapNone/>
                <wp:docPr id="102732197" name="Elipse 70"/>
                <wp:cNvGraphicFramePr/>
                <a:graphic xmlns:a="http://schemas.openxmlformats.org/drawingml/2006/main">
                  <a:graphicData uri="http://schemas.microsoft.com/office/word/2010/wordprocessingShape">
                    <wps:wsp>
                      <wps:cNvSpPr/>
                      <wps:spPr>
                        <a:xfrm>
                          <a:off x="0" y="0"/>
                          <a:ext cx="444502" cy="435546"/>
                        </a:xfrm>
                        <a:prstGeom prst="ellipse">
                          <a:avLst/>
                        </a:prstGeom>
                        <a:solidFill>
                          <a:srgbClr val="BDD7EE">
                            <a:alpha val="40000"/>
                          </a:srgbClr>
                        </a:solidFill>
                        <a:ln w="19050" cap="flat" cmpd="sng" algn="ctr">
                          <a:noFill/>
                          <a:prstDash val="solid"/>
                          <a:miter lim="800000"/>
                        </a:ln>
                        <a:effectLst/>
                      </wps:spPr>
                      <wps:bodyPr rtlCol="0" anchor="ctr"/>
                    </wps:wsp>
                  </a:graphicData>
                </a:graphic>
              </wp:anchor>
            </w:drawing>
          </mc:Choice>
          <mc:Fallback>
            <w:pict>
              <v:oval id="Elipse 70" style="position:absolute;margin-left:0;margin-top:0;width:35pt;height:34.3pt;z-index:2516797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dd7ee" stroked="f" strokeweight="1.5pt" w14:anchorId="18355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">
                <v:fill opacity="26214f"/>
                <v:stroke joinstyle="miter"/>
              </v:oval>
            </w:pict>
          </mc:Fallback>
        </mc:AlternateContent>
      </w:r>
      <w:r w:rsidRPr="00ED36E1">
        <w:rPr>
          <w:b/>
          <w:bCs/>
          <w:noProof/>
          <w:sz w:val="22"/>
          <w:szCs w:val="22"/>
          <w:highlight w:val="yellow"/>
        </w:rPr>
        <mc:AlternateContent>
          <mc:Choice Requires="wps">
            <w:drawing>
              <wp:anchor distT="0" distB="0" distL="114300" distR="114300" simplePos="0" relativeHeight="251680768" behindDoc="0" locked="0" layoutInCell="1" allowOverlap="1" wp14:anchorId="6FA9F47C" wp14:editId="66153401">
                <wp:simplePos x="0" y="0"/>
                <wp:positionH relativeFrom="column">
                  <wp:posOffset>522605</wp:posOffset>
                </wp:positionH>
                <wp:positionV relativeFrom="paragraph">
                  <wp:posOffset>59690</wp:posOffset>
                </wp:positionV>
                <wp:extent cx="2897447" cy="276999"/>
                <wp:effectExtent l="0" t="0" r="0" b="8890"/>
                <wp:wrapNone/>
                <wp:docPr id="872111177" name="CuadroTexto 72"/>
                <wp:cNvGraphicFramePr/>
                <a:graphic xmlns:a="http://schemas.openxmlformats.org/drawingml/2006/main">
                  <a:graphicData uri="http://schemas.microsoft.com/office/word/2010/wordprocessingShape">
                    <wps:wsp>
                      <wps:cNvSpPr txBox="1"/>
                      <wps:spPr>
                        <a:xfrm>
                          <a:off x="0" y="0"/>
                          <a:ext cx="2897447" cy="276999"/>
                        </a:xfrm>
                        <a:prstGeom prst="rect">
                          <a:avLst/>
                        </a:prstGeom>
                        <a:noFill/>
                        <a:ln>
                          <a:noFill/>
                          <a:prstDash val="dash"/>
                        </a:ln>
                      </wps:spPr>
                      <wps:txbx>
                        <w:txbxContent>
                          <w:p w:rsidRPr="00A6758F" w:rsidR="00ED36E1" w:rsidP="00ED36E1" w:rsidRDefault="00ED36E1" w14:paraId="4F80EE2D" w14:textId="0EE359EB">
                            <w:pPr>
                              <w:rPr>
                                <w:rFonts w:eastAsia="Verdana"/>
                                <w:b/>
                                <w:color w:val="000000" w:themeColor="text1"/>
                                <w:kern w:val="24"/>
                              </w:rPr>
                            </w:pPr>
                            <w:r w:rsidRPr="00A6758F">
                              <w:rPr>
                                <w:rFonts w:eastAsia="Verdana"/>
                                <w:b/>
                                <w:color w:val="000000" w:themeColor="text1"/>
                                <w:kern w:val="24"/>
                              </w:rPr>
                              <w:t>Minas y energía ($</w:t>
                            </w:r>
                            <w:r>
                              <w:rPr>
                                <w:rFonts w:eastAsia="Verdana"/>
                                <w:b/>
                                <w:color w:val="000000" w:themeColor="text1"/>
                                <w:kern w:val="24"/>
                              </w:rPr>
                              <w:t>7,</w:t>
                            </w:r>
                            <w:r w:rsidR="00E937ED">
                              <w:rPr>
                                <w:rFonts w:eastAsia="Verdana"/>
                                <w:b/>
                                <w:color w:val="000000" w:themeColor="text1"/>
                                <w:kern w:val="24"/>
                              </w:rPr>
                              <w:t>1</w:t>
                            </w:r>
                            <w:r w:rsidRPr="00A6758F">
                              <w:rPr>
                                <w:rFonts w:eastAsia="Verdana"/>
                                <w:b/>
                                <w:color w:val="000000" w:themeColor="text1"/>
                                <w:kern w:val="24"/>
                              </w:rPr>
                              <w:t xml:space="preserve"> billones)</w:t>
                            </w:r>
                          </w:p>
                        </w:txbxContent>
                      </wps:txbx>
                      <wps:bodyPr wrap="square" rtlCol="0">
                        <a:spAutoFit/>
                      </wps:bodyPr>
                    </wps:wsp>
                  </a:graphicData>
                </a:graphic>
              </wp:anchor>
            </w:drawing>
          </mc:Choice>
          <mc:Fallback>
            <w:pict>
              <v:shape id="CuadroTexto 72" style="position:absolute;left:0;text-align:left;margin-left:41.15pt;margin-top:4.7pt;width:228.15pt;height:21.8pt;z-index:251680768;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" w14:anchorId="6FA9F47C">
                <v:stroke dashstyle="dash"/>
                <v:textbox style="mso-fit-shape-to-text:t">
                  <w:txbxContent>
                    <w:p w:rsidRPr="00A6758F" w:rsidR="00ED36E1" w:rsidP="00ED36E1" w:rsidRDefault="00ED36E1" w14:paraId="4F80EE2D" w14:textId="0EE359EB">
                      <w:pPr>
                        <w:rPr>
                          <w:rFonts w:eastAsia="Verdana"/>
                          <w:b/>
                          <w:color w:val="000000" w:themeColor="text1"/>
                          <w:kern w:val="24"/>
                        </w:rPr>
                      </w:pPr>
                      <w:r w:rsidRPr="00A6758F">
                        <w:rPr>
                          <w:rFonts w:eastAsia="Verdana"/>
                          <w:b/>
                          <w:color w:val="000000" w:themeColor="text1"/>
                          <w:kern w:val="24"/>
                        </w:rPr>
                        <w:t>Minas y energía ($</w:t>
                      </w:r>
                      <w:r>
                        <w:rPr>
                          <w:rFonts w:eastAsia="Verdana"/>
                          <w:b/>
                          <w:color w:val="000000" w:themeColor="text1"/>
                          <w:kern w:val="24"/>
                        </w:rPr>
                        <w:t>7,</w:t>
                      </w:r>
                      <w:r w:rsidR="00E937ED">
                        <w:rPr>
                          <w:rFonts w:eastAsia="Verdana"/>
                          <w:b/>
                          <w:color w:val="000000" w:themeColor="text1"/>
                          <w:kern w:val="24"/>
                        </w:rPr>
                        <w:t>1</w:t>
                      </w:r>
                      <w:r w:rsidRPr="00A6758F">
                        <w:rPr>
                          <w:rFonts w:eastAsia="Verdana"/>
                          <w:b/>
                          <w:color w:val="000000" w:themeColor="text1"/>
                          <w:kern w:val="24"/>
                        </w:rPr>
                        <w:t xml:space="preserve"> billones)</w:t>
                      </w:r>
                    </w:p>
                  </w:txbxContent>
                </v:textbox>
              </v:shape>
            </w:pict>
          </mc:Fallback>
        </mc:AlternateContent>
      </w:r>
      <w:r w:rsidRPr="00ED36E1">
        <w:rPr>
          <w:b/>
          <w:bCs/>
          <w:noProof/>
          <w:sz w:val="22"/>
          <w:szCs w:val="22"/>
          <w:highlight w:val="yellow"/>
        </w:rPr>
        <w:drawing>
          <wp:anchor distT="0" distB="0" distL="114300" distR="114300" simplePos="0" relativeHeight="251681792" behindDoc="0" locked="0" layoutInCell="1" allowOverlap="1" wp14:anchorId="5678E70C" wp14:editId="7744ABA5">
            <wp:simplePos x="0" y="0"/>
            <wp:positionH relativeFrom="column">
              <wp:posOffset>31115</wp:posOffset>
            </wp:positionH>
            <wp:positionV relativeFrom="paragraph">
              <wp:posOffset>26670</wp:posOffset>
            </wp:positionV>
            <wp:extent cx="380240" cy="380240"/>
            <wp:effectExtent l="0" t="0" r="0" b="1270"/>
            <wp:wrapNone/>
            <wp:docPr id="378476109" name="Gráfico 15" descr="Torre eléctrica con relleno sólido">
              <a:extLst xmlns:a="http://schemas.openxmlformats.org/drawingml/2006/main">
                <a:ext uri="{FF2B5EF4-FFF2-40B4-BE49-F238E27FC236}">
                  <a16:creationId xmlns:a16="http://schemas.microsoft.com/office/drawing/2014/main" id="{1FD19004-AEC9-67BF-2B22-EE8CA48FA7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áfico 15" descr="Torre eléctrica con relleno sólido">
                      <a:extLst>
                        <a:ext uri="{FF2B5EF4-FFF2-40B4-BE49-F238E27FC236}">
                          <a16:creationId xmlns:a16="http://schemas.microsoft.com/office/drawing/2014/main" id="{1FD19004-AEC9-67BF-2B22-EE8CA48FA737}"/>
                        </a:ext>
                      </a:extLst>
                    </pic:cNvPr>
                    <pic:cNvPicPr>
                      <a:picLocks noChangeAspect="1"/>
                    </pic:cNvPicPr>
                  </pic:nvPicPr>
                  <pic:blipFill>
                    <a:blip r:embed="rId5">
                      <a:extLst>
                        <a:ext uri="{96DAC541-7B7A-43D3-8B79-37D633B846F1}">
                          <asvg:svgBlip xmlns:asvg="http://schemas.microsoft.com/office/drawing/2016/SVG/main" r:embed="rId6"/>
                        </a:ext>
                      </a:extLst>
                    </a:blip>
                    <a:stretch>
                      <a:fillRect/>
                    </a:stretch>
                  </pic:blipFill>
                  <pic:spPr>
                    <a:xfrm>
                      <a:off x="0" y="0"/>
                      <a:ext cx="380240" cy="380240"/>
                    </a:xfrm>
                    <a:prstGeom prst="rect">
                      <a:avLst/>
                    </a:prstGeom>
                  </pic:spPr>
                </pic:pic>
              </a:graphicData>
            </a:graphic>
          </wp:anchor>
        </w:drawing>
      </w:r>
    </w:p>
    <w:p w:rsidRPr="00ED36E1" w:rsidR="00ED36E1" w:rsidP="00ED36E1" w:rsidRDefault="00ED36E1" w14:paraId="3436E53E" w14:textId="77777777">
      <w:pPr>
        <w:spacing w:after="0"/>
        <w:jc w:val="both"/>
        <w:rPr>
          <w:b/>
          <w:bCs/>
          <w:sz w:val="22"/>
          <w:szCs w:val="22"/>
          <w:highlight w:val="yellow"/>
        </w:rPr>
      </w:pPr>
    </w:p>
    <w:p w:rsidR="00337043" w:rsidP="018477EE" w:rsidRDefault="00337043" w14:paraId="70CA6355" w14:textId="76925F2A">
      <w:pPr>
        <w:pStyle w:val="Normal"/>
        <w:spacing w:after="0"/>
        <w:jc w:val="both"/>
        <w:rPr>
          <w:b w:val="1"/>
          <w:bCs w:val="1"/>
          <w:sz w:val="22"/>
          <w:szCs w:val="22"/>
          <w:highlight w:val="yellow"/>
        </w:rPr>
      </w:pPr>
    </w:p>
    <w:p w:rsidRPr="00ED36E1" w:rsidR="00ED36E1" w:rsidP="00ED36E1" w:rsidRDefault="00ED36E1" w14:paraId="1D3E1BBC" w14:textId="3DBBE72F">
      <w:pPr>
        <w:spacing w:after="0"/>
        <w:jc w:val="both"/>
        <w:rPr>
          <w:highlight w:val="yellow"/>
        </w:rPr>
      </w:pPr>
      <w:r w:rsidR="77A5DF29">
        <w:rPr/>
        <w:t xml:space="preserve">Al cierre de </w:t>
      </w:r>
      <w:r w:rsidR="77A5DF29">
        <w:rPr/>
        <w:t>la vigencia 202</w:t>
      </w:r>
      <w:r w:rsidR="20DA9C81">
        <w:rPr/>
        <w:t>5</w:t>
      </w:r>
      <w:r w:rsidR="77A5DF29">
        <w:rPr/>
        <w:t>, el sector contó con una asignación presupuestal de $7</w:t>
      </w:r>
      <w:r w:rsidR="0C6ABFD5">
        <w:rPr/>
        <w:t>,1</w:t>
      </w:r>
      <w:r w:rsidR="77A5DF29">
        <w:rPr/>
        <w:t xml:space="preserve"> billones.</w:t>
      </w:r>
      <w:r w:rsidR="77A5DF29">
        <w:rPr/>
        <w:t xml:space="preserve"> El </w:t>
      </w:r>
      <w:r w:rsidR="7BA3FDDE">
        <w:rPr/>
        <w:t>65,</w:t>
      </w:r>
      <w:r w:rsidR="339A1956">
        <w:rPr/>
        <w:t>5</w:t>
      </w:r>
      <w:r w:rsidR="77A5DF29">
        <w:rPr/>
        <w:t>% se destin</w:t>
      </w:r>
      <w:r w:rsidRPr="018477EE" w:rsidR="77A5DF29">
        <w:rPr>
          <w:rFonts w:ascii="Aptos" w:hAnsi="Aptos" w:cs="Aptos"/>
        </w:rPr>
        <w:t>ó</w:t>
      </w:r>
      <w:r w:rsidR="77A5DF29">
        <w:rPr/>
        <w:t xml:space="preserve"> a subsidios de energ</w:t>
      </w:r>
      <w:r w:rsidRPr="018477EE" w:rsidR="77A5DF29">
        <w:rPr>
          <w:rFonts w:ascii="Aptos" w:hAnsi="Aptos" w:cs="Aptos"/>
        </w:rPr>
        <w:t>í</w:t>
      </w:r>
      <w:r w:rsidR="77A5DF29">
        <w:rPr/>
        <w:t>a el</w:t>
      </w:r>
      <w:r w:rsidRPr="018477EE" w:rsidR="77A5DF29">
        <w:rPr>
          <w:rFonts w:ascii="Aptos" w:hAnsi="Aptos" w:cs="Aptos"/>
        </w:rPr>
        <w:t>é</w:t>
      </w:r>
      <w:r w:rsidR="77A5DF29">
        <w:rPr/>
        <w:t xml:space="preserve">ctrica y gas; el </w:t>
      </w:r>
      <w:r w:rsidR="23540648">
        <w:rPr/>
        <w:t>13,4</w:t>
      </w:r>
      <w:r w:rsidR="77A5DF29">
        <w:rPr/>
        <w:t xml:space="preserve">% a los fondos FAER, FAZNI, PRONE, FENOGE y FNCFGN (en adelante, Cuota de Fomento); y el </w:t>
      </w:r>
      <w:r w:rsidR="0654A56D">
        <w:rPr/>
        <w:t>21,1</w:t>
      </w:r>
      <w:r w:rsidR="77A5DF29">
        <w:rPr/>
        <w:t>% restante a otros proyectos de inversi</w:t>
      </w:r>
      <w:r w:rsidRPr="018477EE" w:rsidR="77A5DF29">
        <w:rPr>
          <w:rFonts w:ascii="Aptos" w:hAnsi="Aptos" w:cs="Aptos"/>
        </w:rPr>
        <w:t>ó</w:t>
      </w:r>
      <w:r w:rsidR="77A5DF29">
        <w:rPr/>
        <w:t>n. La ejecuci</w:t>
      </w:r>
      <w:r w:rsidRPr="018477EE" w:rsidR="77A5DF29">
        <w:rPr>
          <w:rFonts w:ascii="Aptos" w:hAnsi="Aptos" w:cs="Aptos"/>
        </w:rPr>
        <w:t>ó</w:t>
      </w:r>
      <w:r w:rsidR="77A5DF29">
        <w:rPr/>
        <w:t>n presupuestal fue del 9</w:t>
      </w:r>
      <w:r w:rsidR="7456573F">
        <w:rPr/>
        <w:t>4,6</w:t>
      </w:r>
      <w:r w:rsidRPr="018477EE" w:rsidR="77A5DF29">
        <w:rPr>
          <w:rFonts w:ascii="Arial" w:hAnsi="Arial" w:cs="Arial"/>
        </w:rPr>
        <w:t> </w:t>
      </w:r>
      <w:r w:rsidR="77A5DF29">
        <w:rPr/>
        <w:t xml:space="preserve">% en compromisos y del </w:t>
      </w:r>
      <w:r w:rsidR="0C9959A8">
        <w:rPr/>
        <w:t>67,3</w:t>
      </w:r>
      <w:r w:rsidRPr="018477EE" w:rsidR="77A5DF29">
        <w:rPr>
          <w:rFonts w:ascii="Arial" w:hAnsi="Arial" w:cs="Arial"/>
        </w:rPr>
        <w:t> </w:t>
      </w:r>
      <w:r w:rsidR="77A5DF29">
        <w:rPr/>
        <w:t>% en obligaciones.</w:t>
      </w:r>
    </w:p>
    <w:p w:rsidRPr="00ED36E1" w:rsidR="00ED36E1" w:rsidP="00ED36E1" w:rsidRDefault="00ED36E1" w14:paraId="72BABE34" w14:textId="77777777">
      <w:pPr>
        <w:spacing w:after="0"/>
        <w:jc w:val="both"/>
        <w:rPr>
          <w:highlight w:val="yellow"/>
        </w:rPr>
      </w:pPr>
    </w:p>
    <w:p w:rsidR="77A5DF29" w:rsidP="018477EE" w:rsidRDefault="77A5DF29" w14:paraId="7F59C830" w14:textId="0DCB638B">
      <w:pPr>
        <w:pStyle w:val="Normal"/>
        <w:spacing w:after="0"/>
        <w:jc w:val="both"/>
        <w:rPr>
          <w:rFonts w:ascii="Aptos" w:hAnsi="Aptos" w:eastAsia="Aptos" w:cs="Aptos"/>
          <w:noProof w:val="0"/>
          <w:sz w:val="24"/>
          <w:szCs w:val="24"/>
          <w:lang w:val="es-CO"/>
        </w:rPr>
      </w:pPr>
      <w:r w:rsidR="77A5DF29">
        <w:rPr/>
        <w:t>Se asig</w:t>
      </w:r>
      <w:r w:rsidR="77A5DF29">
        <w:rPr/>
        <w:t>naron $</w:t>
      </w:r>
      <w:r w:rsidR="4EF5E344">
        <w:rPr/>
        <w:t>3,1</w:t>
      </w:r>
      <w:r w:rsidR="77A5DF29">
        <w:rPr/>
        <w:t xml:space="preserve"> billones para subsidiar el servicio público domiciliario de energía eléctrica </w:t>
      </w:r>
      <w:r w:rsidRPr="018477EE" w:rsidR="37B76EE1">
        <w:rPr>
          <w:rFonts w:ascii="Aptos" w:hAnsi="Aptos" w:eastAsia="Aptos" w:cs="Aptos"/>
          <w:noProof w:val="0"/>
          <w:sz w:val="24"/>
          <w:szCs w:val="24"/>
          <w:lang w:val="es-CO"/>
        </w:rPr>
        <w:t>a un promedio de 13,53 millones de usuarios de los estratos 1, 2 y 3. Del valor asignado se comprometió un valor de $3.01 billones de pesos, equivalente al 97,83%.</w:t>
      </w:r>
    </w:p>
    <w:p w:rsidR="018477EE" w:rsidP="018477EE" w:rsidRDefault="018477EE" w14:paraId="39BC0430" w14:textId="263702CB">
      <w:pPr>
        <w:pStyle w:val="Normal"/>
        <w:spacing w:after="0"/>
        <w:jc w:val="both"/>
      </w:pPr>
    </w:p>
    <w:p w:rsidRPr="00ED36E1" w:rsidR="00ED36E1" w:rsidP="018477EE" w:rsidRDefault="00ED36E1" w14:paraId="68F7DF3C" w14:textId="2E5592CE">
      <w:pPr>
        <w:pStyle w:val="Normal"/>
        <w:spacing w:after="0"/>
        <w:jc w:val="both"/>
      </w:pPr>
      <w:r w:rsidR="77A5DF29">
        <w:rPr/>
        <w:t>En subsidios de gas por red se apropiaron $</w:t>
      </w:r>
      <w:r w:rsidR="316D1096">
        <w:rPr/>
        <w:t>839,1</w:t>
      </w:r>
      <w:r w:rsidR="77A5DF29">
        <w:rPr/>
        <w:t xml:space="preserve"> mil millones </w:t>
      </w:r>
      <w:r w:rsidR="77A5DF29">
        <w:rPr/>
        <w:t>para beneficiar a 7,</w:t>
      </w:r>
      <w:r w:rsidR="217CC3FC">
        <w:rPr/>
        <w:t>4</w:t>
      </w:r>
      <w:r w:rsidR="77A5DF29">
        <w:rPr/>
        <w:t xml:space="preserve"> millones de usuarios de estratos 1 y 2, </w:t>
      </w:r>
      <w:r w:rsidR="77A5DF29">
        <w:rPr/>
        <w:t>con una ejecución de $</w:t>
      </w:r>
      <w:r w:rsidR="0C22467E">
        <w:rPr/>
        <w:t>839,1</w:t>
      </w:r>
      <w:r w:rsidR="77A5DF29">
        <w:rPr/>
        <w:t xml:space="preserve"> mil millones.</w:t>
      </w:r>
      <w:r w:rsidR="77A5DF29">
        <w:rPr/>
        <w:t xml:space="preserve"> </w:t>
      </w:r>
      <w:r w:rsidR="77A5DF29">
        <w:rPr/>
        <w:t>Para subsidios e infraestructura de GLP, se destinaron $1</w:t>
      </w:r>
      <w:r w:rsidR="1FFD2C15">
        <w:rPr/>
        <w:t>21,2</w:t>
      </w:r>
      <w:r w:rsidR="77A5DF29">
        <w:rPr/>
        <w:t xml:space="preserve"> mil millones,</w:t>
      </w:r>
      <w:r w:rsidR="77A5DF29">
        <w:rPr/>
        <w:t xml:space="preserve"> beneficiando a </w:t>
      </w:r>
      <w:r w:rsidRPr="018477EE" w:rsidR="2FBA3053">
        <w:rPr>
          <w:rFonts w:ascii="Aptos" w:hAnsi="Aptos" w:eastAsia="Aptos" w:cs="Aptos"/>
          <w:noProof w:val="0"/>
          <w:sz w:val="24"/>
          <w:szCs w:val="24"/>
          <w:lang w:val="es-CO"/>
        </w:rPr>
        <w:t xml:space="preserve">231.957 </w:t>
      </w:r>
      <w:r w:rsidR="77A5DF29">
        <w:rPr/>
        <w:t>usuarios</w:t>
      </w:r>
      <w:r w:rsidR="77A5DF29">
        <w:rPr/>
        <w:t xml:space="preserve"> y cofinanciando dos proyectos</w:t>
      </w:r>
      <w:r w:rsidR="77A5DF29">
        <w:rPr/>
        <w:t>, con una ejecución de $</w:t>
      </w:r>
      <w:r w:rsidR="165EDAE6">
        <w:rPr/>
        <w:t>83,1</w:t>
      </w:r>
      <w:r w:rsidR="77A5DF29">
        <w:rPr/>
        <w:t xml:space="preserve"> mil millones.</w:t>
      </w:r>
    </w:p>
    <w:p w:rsidR="018477EE" w:rsidP="018477EE" w:rsidRDefault="018477EE" w14:paraId="033DE306" w14:textId="2C28D877">
      <w:pPr>
        <w:pStyle w:val="Normal"/>
        <w:spacing w:after="0"/>
        <w:jc w:val="both"/>
      </w:pPr>
    </w:p>
    <w:p w:rsidRPr="00ED36E1" w:rsidR="00ED36E1" w:rsidP="018477EE" w:rsidRDefault="00ED36E1" w14:paraId="33D8AD66" w14:textId="083E667B">
      <w:pPr>
        <w:pStyle w:val="Normal"/>
        <w:spacing w:after="0"/>
        <w:jc w:val="both"/>
        <w:rPr>
          <w:highlight w:val="yellow"/>
        </w:rPr>
      </w:pPr>
      <w:r w:rsidR="77A5DF29">
        <w:rPr/>
        <w:t>Para usuarios en áreas especiales del Sistema Interconectado Nacional, se asignaron $</w:t>
      </w:r>
      <w:r w:rsidR="44EC3457">
        <w:rPr/>
        <w:t>261</w:t>
      </w:r>
      <w:r w:rsidR="77A5DF29">
        <w:rPr/>
        <w:t xml:space="preserve"> mil millones con cobertura de hasta $92/kWh,</w:t>
      </w:r>
      <w:r w:rsidR="796FE560">
        <w:rPr/>
        <w:t xml:space="preserve"> </w:t>
      </w:r>
      <w:r w:rsidRPr="018477EE" w:rsidR="796FE560">
        <w:rPr>
          <w:rFonts w:ascii="Aptos" w:hAnsi="Aptos" w:eastAsia="Aptos" w:cs="Aptos"/>
          <w:noProof w:val="0"/>
          <w:sz w:val="24"/>
          <w:szCs w:val="24"/>
          <w:lang w:val="es-CO"/>
        </w:rPr>
        <w:t xml:space="preserve">beneficiando en promedio a 1,83 millones de usuarios; La ejecución de estos recursos fue del 69,99% teniendo en cuenta que el 30% restante que no pudo ser comprometido, ya que estaba destinado a la financiación de soluciones energéticas con FNCER en las áreas especiales, </w:t>
      </w:r>
      <w:r w:rsidRPr="018477EE" w:rsidR="2F439403">
        <w:rPr>
          <w:rFonts w:ascii="Aptos" w:hAnsi="Aptos" w:eastAsia="Aptos" w:cs="Aptos"/>
          <w:noProof w:val="0"/>
          <w:sz w:val="24"/>
          <w:szCs w:val="24"/>
          <w:lang w:val="es-CO"/>
        </w:rPr>
        <w:t>de acuerdo con</w:t>
      </w:r>
      <w:r w:rsidRPr="018477EE" w:rsidR="796FE560">
        <w:rPr>
          <w:rFonts w:ascii="Aptos" w:hAnsi="Aptos" w:eastAsia="Aptos" w:cs="Aptos"/>
          <w:noProof w:val="0"/>
          <w:sz w:val="24"/>
          <w:szCs w:val="24"/>
          <w:lang w:val="es-CO"/>
        </w:rPr>
        <w:t xml:space="preserve"> lo establecido en el artículo 248 de la Ley 2294 de 2023, que solamente se reglamentó hasta el año 2026.</w:t>
      </w:r>
    </w:p>
    <w:p w:rsidRPr="00ED36E1" w:rsidR="00ED36E1" w:rsidP="018477EE" w:rsidRDefault="00ED36E1" w14:paraId="15B4E2AD" w14:textId="601168D5">
      <w:pPr>
        <w:pStyle w:val="Normal"/>
        <w:spacing w:before="240" w:beforeAutospacing="off" w:after="240" w:afterAutospacing="off"/>
        <w:jc w:val="both"/>
        <w:rPr>
          <w:rFonts w:ascii="Aptos" w:hAnsi="Aptos" w:eastAsia="Aptos" w:cs="Aptos"/>
          <w:noProof w:val="0"/>
          <w:sz w:val="24"/>
          <w:szCs w:val="24"/>
          <w:lang w:val="es-CO"/>
        </w:rPr>
      </w:pPr>
      <w:r w:rsidR="77A5DF29">
        <w:rPr/>
        <w:t>En subsidios al transporte de combustibles l</w:t>
      </w:r>
      <w:r w:rsidRPr="018477EE" w:rsidR="77A5DF29">
        <w:rPr>
          <w:rFonts w:ascii="Aptos" w:hAnsi="Aptos" w:cs="Aptos"/>
        </w:rPr>
        <w:t>í</w:t>
      </w:r>
      <w:r w:rsidR="77A5DF29">
        <w:rPr/>
        <w:t>quidos en Nari</w:t>
      </w:r>
      <w:r w:rsidRPr="018477EE" w:rsidR="77A5DF29">
        <w:rPr>
          <w:rFonts w:ascii="Aptos" w:hAnsi="Aptos" w:cs="Aptos"/>
        </w:rPr>
        <w:t>ñ</w:t>
      </w:r>
      <w:r w:rsidR="77A5DF29">
        <w:rPr/>
        <w:t>o,</w:t>
      </w:r>
      <w:r w:rsidR="280FB1A4">
        <w:rPr/>
        <w:t xml:space="preserve"> </w:t>
      </w:r>
      <w:r w:rsidR="77A5DF29">
        <w:rPr/>
        <w:t>se ejecutaron $4</w:t>
      </w:r>
      <w:r w:rsidR="3EE05BAD">
        <w:rPr/>
        <w:t>8</w:t>
      </w:r>
      <w:r w:rsidR="77A5DF29">
        <w:rPr/>
        <w:t>,</w:t>
      </w:r>
      <w:r w:rsidR="0B63D49B">
        <w:rPr/>
        <w:t>6</w:t>
      </w:r>
      <w:r w:rsidR="77A5DF29">
        <w:rPr/>
        <w:t xml:space="preserve"> mil millones</w:t>
      </w:r>
      <w:r w:rsidR="77A5DF29">
        <w:rPr/>
        <w:t>,</w:t>
      </w:r>
      <w:r w:rsidR="77A5DF29">
        <w:rPr/>
        <w:t xml:space="preserve"> reduciendo el precio en promedio en $509 por gal</w:t>
      </w:r>
      <w:r w:rsidRPr="018477EE" w:rsidR="77A5DF29">
        <w:rPr>
          <w:rFonts w:ascii="Aptos" w:hAnsi="Aptos" w:cs="Aptos"/>
        </w:rPr>
        <w:t>ó</w:t>
      </w:r>
      <w:r w:rsidR="77A5DF29">
        <w:rPr/>
        <w:t>n</w:t>
      </w:r>
      <w:r w:rsidR="08D0181A">
        <w:rPr/>
        <w:t xml:space="preserve">, lo anterior equivale a </w:t>
      </w:r>
      <w:r w:rsidRPr="018477EE" w:rsidR="08D0181A">
        <w:rPr>
          <w:rFonts w:ascii="Aptos" w:hAnsi="Aptos" w:eastAsia="Aptos" w:cs="Aptos"/>
          <w:noProof w:val="0"/>
          <w:sz w:val="24"/>
          <w:szCs w:val="24"/>
          <w:lang w:val="es-CO"/>
        </w:rPr>
        <w:t>88.981.80</w:t>
      </w:r>
      <w:r w:rsidRPr="018477EE" w:rsidR="4E69ECB9">
        <w:rPr>
          <w:rFonts w:ascii="Aptos" w:hAnsi="Aptos" w:eastAsia="Aptos" w:cs="Aptos"/>
          <w:noProof w:val="0"/>
          <w:sz w:val="24"/>
          <w:szCs w:val="24"/>
          <w:lang w:val="es-CO"/>
        </w:rPr>
        <w:t>5</w:t>
      </w:r>
      <w:r w:rsidRPr="018477EE" w:rsidR="08E824A9">
        <w:rPr>
          <w:rFonts w:ascii="Aptos" w:hAnsi="Aptos" w:eastAsia="Aptos" w:cs="Aptos"/>
          <w:noProof w:val="0"/>
          <w:sz w:val="24"/>
          <w:szCs w:val="24"/>
          <w:lang w:val="es-CO"/>
        </w:rPr>
        <w:t xml:space="preserve"> de galones transportados.</w:t>
      </w:r>
    </w:p>
    <w:p w:rsidRPr="00ED36E1" w:rsidR="00ED36E1" w:rsidP="018477EE" w:rsidRDefault="00ED36E1" w14:paraId="5768B2D5" w14:textId="7A391AA3">
      <w:pPr>
        <w:spacing w:after="0"/>
        <w:jc w:val="both"/>
      </w:pPr>
      <w:r w:rsidR="77A5DF29">
        <w:rPr/>
        <w:t>Se apropiaron $</w:t>
      </w:r>
      <w:r w:rsidR="3BF89873">
        <w:rPr/>
        <w:t>508,6</w:t>
      </w:r>
      <w:r w:rsidR="77A5DF29">
        <w:rPr/>
        <w:t xml:space="preserve"> mil millones para los Fondos de Apoyo Financiero, distribuidos así:</w:t>
      </w:r>
    </w:p>
    <w:p w:rsidRPr="00ED36E1" w:rsidR="00ED36E1" w:rsidP="00ED36E1" w:rsidRDefault="00ED36E1" w14:paraId="66A16C42" w14:textId="77777777">
      <w:pPr>
        <w:spacing w:after="0"/>
        <w:jc w:val="both"/>
        <w:rPr>
          <w:szCs w:val="20"/>
          <w:highlight w:val="yellow"/>
        </w:rPr>
      </w:pPr>
    </w:p>
    <w:p w:rsidRPr="00ED36E1" w:rsidR="00ED36E1" w:rsidP="018477EE" w:rsidRDefault="00ED36E1" w14:paraId="59C2FE16" w14:textId="08B2D065">
      <w:pPr>
        <w:pStyle w:val="Normal"/>
        <w:spacing w:after="0"/>
        <w:jc w:val="both"/>
      </w:pPr>
      <w:r w:rsidR="77A5DF29">
        <w:rPr/>
        <w:t>FAER: $</w:t>
      </w:r>
      <w:r w:rsidR="0C8F0163">
        <w:rPr/>
        <w:t>164</w:t>
      </w:r>
      <w:r w:rsidR="16007035">
        <w:rPr/>
        <w:t>,2</w:t>
      </w:r>
      <w:r w:rsidR="77A5DF29">
        <w:rPr/>
        <w:t xml:space="preserve"> mil millones, de los cuales se comprometieron $1</w:t>
      </w:r>
      <w:r w:rsidR="5C94268F">
        <w:rPr/>
        <w:t>55</w:t>
      </w:r>
      <w:r w:rsidR="77A5DF29">
        <w:rPr/>
        <w:t>,</w:t>
      </w:r>
      <w:r w:rsidR="1FBB08D9">
        <w:rPr/>
        <w:t>3</w:t>
      </w:r>
      <w:r w:rsidR="77A5DF29">
        <w:rPr/>
        <w:t xml:space="preserve"> mil millones</w:t>
      </w:r>
      <w:r w:rsidR="45FF7788">
        <w:rPr/>
        <w:t xml:space="preserve"> </w:t>
      </w:r>
      <w:r w:rsidR="77A5DF29">
        <w:rPr/>
        <w:t xml:space="preserve">para </w:t>
      </w:r>
      <w:r w:rsidR="629C3909">
        <w:rPr/>
        <w:t>tres</w:t>
      </w:r>
      <w:r w:rsidR="77A5DF29">
        <w:rPr/>
        <w:t xml:space="preserve"> proyectos que benefician a </w:t>
      </w:r>
      <w:r w:rsidR="03EE3EA5">
        <w:rPr/>
        <w:t>1</w:t>
      </w:r>
      <w:r w:rsidR="1AA4B3F0">
        <w:rPr/>
        <w:t>.</w:t>
      </w:r>
      <w:r w:rsidR="03EE3EA5">
        <w:rPr/>
        <w:t xml:space="preserve">882 </w:t>
      </w:r>
      <w:r w:rsidR="77A5DF29">
        <w:rPr/>
        <w:t>usuarios</w:t>
      </w:r>
      <w:r w:rsidR="642C6CE7">
        <w:rPr/>
        <w:t xml:space="preserve"> nuevos</w:t>
      </w:r>
      <w:r w:rsidR="77A5DF29">
        <w:rPr/>
        <w:t xml:space="preserve"> en zonas rurales</w:t>
      </w:r>
      <w:r w:rsidR="13AC1E90">
        <w:rPr/>
        <w:t xml:space="preserve"> de 3 departamentos diferentes</w:t>
      </w:r>
      <w:r w:rsidR="47A04449">
        <w:rPr/>
        <w:t xml:space="preserve"> </w:t>
      </w:r>
      <w:r w:rsidR="49667419">
        <w:rPr/>
        <w:t>y,</w:t>
      </w:r>
      <w:r w:rsidR="47A04449">
        <w:rPr/>
        <w:t xml:space="preserve"> 26.373 mejoramiento de infraestructura existente </w:t>
      </w:r>
      <w:r w:rsidR="3EDA695F">
        <w:rPr/>
        <w:t>en</w:t>
      </w:r>
      <w:r w:rsidR="47A04449">
        <w:rPr/>
        <w:t xml:space="preserve"> las zonas rurales</w:t>
      </w:r>
      <w:r w:rsidR="77A5DF29">
        <w:rPr/>
        <w:t>.</w:t>
      </w:r>
    </w:p>
    <w:p w:rsidRPr="00ED36E1" w:rsidR="00ED36E1" w:rsidP="018477EE" w:rsidRDefault="00ED36E1" w14:paraId="289A713A" w14:textId="77777777">
      <w:pPr>
        <w:spacing w:after="0"/>
        <w:jc w:val="both"/>
      </w:pPr>
    </w:p>
    <w:p w:rsidRPr="00ED36E1" w:rsidR="00ED36E1" w:rsidP="018477EE" w:rsidRDefault="00ED36E1" w14:paraId="47F692BD" w14:textId="147175B9">
      <w:pPr>
        <w:spacing w:after="0"/>
        <w:jc w:val="both"/>
      </w:pPr>
      <w:r w:rsidR="77A5DF29">
        <w:rPr/>
        <w:t>PRONE: $</w:t>
      </w:r>
      <w:r w:rsidR="77A18C7C">
        <w:rPr/>
        <w:t>104,1</w:t>
      </w:r>
      <w:r w:rsidR="77A5DF29">
        <w:rPr/>
        <w:t xml:space="preserve"> mil millones, con compromisos por $</w:t>
      </w:r>
      <w:r w:rsidR="1243A405">
        <w:rPr/>
        <w:t>10</w:t>
      </w:r>
      <w:r w:rsidR="700A36EF">
        <w:rPr/>
        <w:t>2,8</w:t>
      </w:r>
      <w:r w:rsidR="77A5DF29">
        <w:rPr/>
        <w:t xml:space="preserve"> mil millones</w:t>
      </w:r>
      <w:r w:rsidR="77A5DF29">
        <w:rPr/>
        <w:t xml:space="preserve"> para </w:t>
      </w:r>
      <w:r w:rsidR="508ABA88">
        <w:rPr/>
        <w:t>30</w:t>
      </w:r>
      <w:r w:rsidR="77A5DF29">
        <w:rPr/>
        <w:t xml:space="preserve"> proyectos de normalización de redes en barrios subnormales</w:t>
      </w:r>
      <w:r w:rsidR="56D23593">
        <w:rPr/>
        <w:t xml:space="preserve"> que beneficiaran a </w:t>
      </w:r>
      <w:r w:rsidR="231785EA">
        <w:rPr/>
        <w:t>10.990 usuarios</w:t>
      </w:r>
      <w:r w:rsidR="1DF530B9">
        <w:rPr/>
        <w:t xml:space="preserve"> en 6 departamentos y 17 municipios.</w:t>
      </w:r>
    </w:p>
    <w:p w:rsidRPr="00ED36E1" w:rsidR="00ED36E1" w:rsidP="00ED36E1" w:rsidRDefault="00ED36E1" w14:paraId="5968403D" w14:textId="77777777">
      <w:pPr>
        <w:spacing w:after="0"/>
        <w:jc w:val="both"/>
        <w:rPr>
          <w:highlight w:val="yellow"/>
        </w:rPr>
      </w:pPr>
    </w:p>
    <w:p w:rsidRPr="00ED36E1" w:rsidR="00ED36E1" w:rsidP="00ED36E1" w:rsidRDefault="00ED36E1" w14:paraId="0F754D5D" w14:textId="2EF02C48">
      <w:pPr>
        <w:spacing w:after="0"/>
        <w:jc w:val="both"/>
        <w:rPr>
          <w:highlight w:val="yellow"/>
        </w:rPr>
      </w:pPr>
      <w:r w:rsidR="77A5DF29">
        <w:rPr/>
        <w:t>F</w:t>
      </w:r>
      <w:r w:rsidR="77A5DF29">
        <w:rPr/>
        <w:t>AZNI: $</w:t>
      </w:r>
      <w:r w:rsidR="314C10F0">
        <w:rPr/>
        <w:t>2</w:t>
      </w:r>
      <w:r w:rsidR="77A5DF29">
        <w:rPr/>
        <w:t>4</w:t>
      </w:r>
      <w:r w:rsidR="76FB882E">
        <w:rPr/>
        <w:t>0</w:t>
      </w:r>
      <w:r w:rsidR="77A5DF29">
        <w:rPr/>
        <w:t>,</w:t>
      </w:r>
      <w:r w:rsidR="18207080">
        <w:rPr/>
        <w:t>3</w:t>
      </w:r>
      <w:r w:rsidR="77A5DF29">
        <w:rPr/>
        <w:t xml:space="preserve"> mil millones, con $</w:t>
      </w:r>
      <w:r w:rsidR="2D8A312D">
        <w:rPr/>
        <w:t>234</w:t>
      </w:r>
      <w:r w:rsidR="77A5DF29">
        <w:rPr/>
        <w:t>,</w:t>
      </w:r>
      <w:r w:rsidR="53289C99">
        <w:rPr/>
        <w:t>8</w:t>
      </w:r>
      <w:r w:rsidR="77A5DF29">
        <w:rPr/>
        <w:t xml:space="preserve"> mil millones comprometidos en</w:t>
      </w:r>
      <w:r w:rsidR="77A5DF29">
        <w:rPr/>
        <w:t xml:space="preserve"> </w:t>
      </w:r>
      <w:r w:rsidR="1EFA813C">
        <w:rPr/>
        <w:t xml:space="preserve">30 </w:t>
      </w:r>
      <w:r w:rsidR="77A5DF29">
        <w:rPr/>
        <w:t>proyectos</w:t>
      </w:r>
      <w:r w:rsidR="77A5DF29">
        <w:rPr/>
        <w:t xml:space="preserve"> para 8.</w:t>
      </w:r>
      <w:r w:rsidR="670606C8">
        <w:rPr/>
        <w:t>466</w:t>
      </w:r>
      <w:r w:rsidR="77A5DF29">
        <w:rPr/>
        <w:t xml:space="preserve"> usuarios en Zonas No Interconectadas</w:t>
      </w:r>
      <w:r w:rsidR="610ABD23">
        <w:rPr/>
        <w:t>, desarrollados en 14 departamentos de nuestro territorio nacional</w:t>
      </w:r>
      <w:r w:rsidR="77A5DF29">
        <w:rPr/>
        <w:t>.</w:t>
      </w:r>
    </w:p>
    <w:p w:rsidRPr="00ED36E1" w:rsidR="00ED36E1" w:rsidP="00ED36E1" w:rsidRDefault="00ED36E1" w14:paraId="22259D2A" w14:textId="77777777">
      <w:pPr>
        <w:spacing w:after="0"/>
        <w:jc w:val="both"/>
        <w:rPr>
          <w:highlight w:val="yellow"/>
        </w:rPr>
      </w:pPr>
    </w:p>
    <w:p w:rsidR="00B0061C" w:rsidP="018477EE" w:rsidRDefault="00B0061C" w14:paraId="587C11FD" w14:textId="74525AFE">
      <w:pPr>
        <w:spacing w:after="0"/>
        <w:jc w:val="both"/>
      </w:pPr>
      <w:r w:rsidR="77A5DF29">
        <w:rPr/>
        <w:t>Fondo de Cuota de Fomento: $</w:t>
      </w:r>
      <w:r w:rsidR="1AB3F5A3">
        <w:rPr/>
        <w:t>62,1</w:t>
      </w:r>
      <w:r w:rsidR="77A5DF29">
        <w:rPr/>
        <w:t xml:space="preserve"> mil millones para ampliar cobertura de gas combustible, especialmente a población vulnerable.</w:t>
      </w:r>
      <w:r w:rsidR="7F695834">
        <w:rPr/>
        <w:t xml:space="preserve"> Se realizaron 7 Convenios</w:t>
      </w:r>
      <w:r w:rsidR="164EBC8A">
        <w:rPr/>
        <w:t xml:space="preserve"> </w:t>
      </w:r>
      <w:r w:rsidR="751A9D43">
        <w:rPr/>
        <w:t xml:space="preserve">abarcando las regiones Andina, Caribe y Pacífico </w:t>
      </w:r>
      <w:r w:rsidR="3181AA20">
        <w:rPr/>
        <w:t>comprometie</w:t>
      </w:r>
      <w:r w:rsidR="7E28A58E">
        <w:rPr/>
        <w:t>ndo</w:t>
      </w:r>
      <w:r w:rsidR="77A5DF29">
        <w:rPr/>
        <w:t xml:space="preserve"> $</w:t>
      </w:r>
      <w:r w:rsidR="6B5AB777">
        <w:rPr/>
        <w:t>44,6</w:t>
      </w:r>
      <w:r w:rsidR="77A5DF29">
        <w:rPr/>
        <w:t xml:space="preserve"> mil millones.</w:t>
      </w:r>
    </w:p>
    <w:p w:rsidR="018477EE" w:rsidP="018477EE" w:rsidRDefault="018477EE" w14:paraId="2FC6CD1B" w14:textId="0ABCF2EB">
      <w:pPr>
        <w:spacing w:after="0"/>
        <w:jc w:val="both"/>
      </w:pPr>
    </w:p>
    <w:p w:rsidR="5258F111" w:rsidP="018477EE" w:rsidRDefault="5258F111" w14:paraId="7D351A0D" w14:textId="1BE440E4">
      <w:pPr>
        <w:spacing w:after="0"/>
        <w:jc w:val="both"/>
      </w:pPr>
      <w:r w:rsidR="5258F111">
        <w:rPr/>
        <w:t xml:space="preserve">En lo que concierne a Minería </w:t>
      </w:r>
      <w:r w:rsidR="2C20474A">
        <w:rPr/>
        <w:t>se consolidaron importantes avances en materia de formalización, fortalecimiento institucional y sostenibilidad del sector minero en Colombia. Entre los principales logros se destaca el acompañamiento y asistencia técnica a mineros tradicionales y de pequeña escala, beneficiando a más de 155 unidades de producción minera asistidas técnicamente, así como la expedición de 138 títulos mineros y la asignación de áreas minerales estratégicas para impulsar el aprovechamiento responsable de minerales en el país. Asimismo, se fortaleció las capacidades del Sistema Nacional de Salvamento Minero mediante procesos de educación, formación y entrenamiento dirigidos a más de 2.500 personas, contribuyendo a mejorar la atención de emergencias y la gestión del riesgo minero.</w:t>
      </w:r>
    </w:p>
    <w:p w:rsidR="018477EE" w:rsidP="018477EE" w:rsidRDefault="018477EE" w14:paraId="25537DA5" w14:textId="3F105F9C">
      <w:pPr>
        <w:spacing w:after="0"/>
        <w:jc w:val="both"/>
      </w:pPr>
    </w:p>
    <w:p w:rsidR="2C20474A" w:rsidP="018477EE" w:rsidRDefault="2C20474A" w14:paraId="1D5E68C3" w14:textId="5B4EB6D2">
      <w:pPr>
        <w:spacing w:after="0"/>
        <w:jc w:val="both"/>
      </w:pPr>
      <w:r w:rsidR="2C20474A">
        <w:rPr/>
        <w:t>De igual manera, se avanzó en la implementación de agendas participativas con comunidades y autoridades locales, promoviendo la gestión de la conflictividad socioambiental y fortaleciendo la presencia institucional en los territorios con vocación minera.</w:t>
      </w:r>
    </w:p>
    <w:p w:rsidR="00B0061C" w:rsidP="00ED36E1" w:rsidRDefault="00B0061C" w14:paraId="0C3BE893" w14:textId="77777777">
      <w:pPr>
        <w:spacing w:after="0"/>
        <w:jc w:val="both"/>
        <w:rPr>
          <w:highlight w:val="yellow"/>
        </w:rPr>
      </w:pPr>
    </w:p>
    <w:p w:rsidRPr="00ED36E1" w:rsidR="00ED36E1" w:rsidP="018477EE" w:rsidRDefault="00ED36E1" w14:paraId="4F46DBCD" w14:textId="5F307DEB">
      <w:pPr>
        <w:spacing w:after="0"/>
        <w:jc w:val="both"/>
        <w:rPr>
          <w:highlight w:val="yellow"/>
        </w:rPr>
      </w:pPr>
      <w:r w:rsidR="08DFDB8D">
        <w:rPr/>
        <w:t xml:space="preserve">Por otro lado, </w:t>
      </w:r>
      <w:r w:rsidR="3A25C567">
        <w:rPr/>
        <w:t xml:space="preserve">y </w:t>
      </w:r>
      <w:r w:rsidR="08DFDB8D">
        <w:rPr/>
        <w:t xml:space="preserve">teniendo en cuenta la </w:t>
      </w:r>
      <w:r w:rsidR="68FCA3C3">
        <w:rPr/>
        <w:t>reorientación</w:t>
      </w:r>
      <w:r w:rsidR="08DFDB8D">
        <w:rPr/>
        <w:t xml:space="preserve"> de</w:t>
      </w:r>
      <w:r w:rsidRPr="018477EE" w:rsidR="3F5431C1">
        <w:rPr>
          <w:rFonts w:ascii="Aptos" w:hAnsi="Aptos" w:eastAsia="Aptos" w:cs="Aptos"/>
          <w:noProof w:val="0"/>
          <w:sz w:val="24"/>
          <w:szCs w:val="24"/>
          <w:lang w:val="es-CO"/>
        </w:rPr>
        <w:t xml:space="preserve"> la generación de conocimiento </w:t>
      </w:r>
      <w:r w:rsidRPr="018477EE" w:rsidR="34B59684">
        <w:rPr>
          <w:rFonts w:ascii="Aptos" w:hAnsi="Aptos" w:eastAsia="Aptos" w:cs="Aptos"/>
          <w:noProof w:val="0"/>
          <w:sz w:val="24"/>
          <w:szCs w:val="24"/>
          <w:lang w:val="es-CO"/>
        </w:rPr>
        <w:t>geocientífico</w:t>
      </w:r>
      <w:r w:rsidRPr="018477EE" w:rsidR="3F5431C1">
        <w:rPr>
          <w:rFonts w:ascii="Aptos" w:hAnsi="Aptos" w:eastAsia="Aptos" w:cs="Aptos"/>
          <w:noProof w:val="0"/>
          <w:sz w:val="24"/>
          <w:szCs w:val="24"/>
          <w:lang w:val="es-CO"/>
        </w:rPr>
        <w:t xml:space="preserve"> y nuclear aplicado a la solución de problemáticas nacionales e, incluso internacionales, así como a validar científicamente necesidades de comunidades locales en algunos lugares del país y a dar a conocer al público dichos resultados,  se logró un avance del Plan Estratégico del Conocimiento </w:t>
      </w:r>
      <w:r w:rsidRPr="018477EE" w:rsidR="3F5431C1">
        <w:rPr>
          <w:rFonts w:ascii="Aptos" w:hAnsi="Aptos" w:eastAsia="Aptos" w:cs="Aptos"/>
          <w:noProof w:val="0"/>
          <w:sz w:val="24"/>
          <w:szCs w:val="24"/>
          <w:lang w:val="es-CO"/>
        </w:rPr>
        <w:t>Geocientífico</w:t>
      </w:r>
      <w:r w:rsidRPr="018477EE" w:rsidR="3F5431C1">
        <w:rPr>
          <w:rFonts w:ascii="Aptos" w:hAnsi="Aptos" w:eastAsia="Aptos" w:cs="Aptos"/>
          <w:noProof w:val="0"/>
          <w:sz w:val="24"/>
          <w:szCs w:val="24"/>
          <w:lang w:val="es-CO"/>
        </w:rPr>
        <w:t xml:space="preserve"> y Nuclear 2023 – 2032 del 76.29% de las metas establecidas para el </w:t>
      </w:r>
      <w:r w:rsidRPr="018477EE" w:rsidR="36F46952">
        <w:rPr>
          <w:rFonts w:ascii="Aptos" w:hAnsi="Aptos" w:eastAsia="Aptos" w:cs="Aptos"/>
          <w:noProof w:val="0"/>
          <w:sz w:val="24"/>
          <w:szCs w:val="24"/>
          <w:lang w:val="es-CO"/>
        </w:rPr>
        <w:t>cuatrienio</w:t>
      </w:r>
      <w:r w:rsidRPr="018477EE" w:rsidR="3F5431C1">
        <w:rPr>
          <w:rFonts w:ascii="Aptos" w:hAnsi="Aptos" w:eastAsia="Aptos" w:cs="Aptos"/>
          <w:noProof w:val="0"/>
          <w:sz w:val="24"/>
          <w:szCs w:val="24"/>
          <w:lang w:val="es-CO"/>
        </w:rPr>
        <w:t xml:space="preserve"> y compromisos en el 2025</w:t>
      </w:r>
      <w:r w:rsidRPr="018477EE" w:rsidR="45D8FC1A">
        <w:rPr>
          <w:rFonts w:ascii="Aptos" w:hAnsi="Aptos" w:eastAsia="Aptos" w:cs="Aptos"/>
          <w:noProof w:val="0"/>
          <w:sz w:val="24"/>
          <w:szCs w:val="24"/>
          <w:lang w:val="es-CO"/>
        </w:rPr>
        <w:t>,</w:t>
      </w:r>
      <w:r w:rsidRPr="018477EE" w:rsidR="3F5431C1">
        <w:rPr>
          <w:rFonts w:ascii="Aptos" w:hAnsi="Aptos" w:eastAsia="Aptos" w:cs="Aptos"/>
          <w:noProof w:val="0"/>
          <w:sz w:val="24"/>
          <w:szCs w:val="24"/>
          <w:lang w:val="es-CO"/>
        </w:rPr>
        <w:t xml:space="preserve"> lo que representa avances significativos en la actualización de información sobre amenazas, generación de guías para la zonificación de estas </w:t>
      </w:r>
      <w:r w:rsidRPr="018477EE" w:rsidR="3F5431C1">
        <w:rPr>
          <w:rFonts w:ascii="Aptos" w:hAnsi="Aptos" w:eastAsia="Aptos" w:cs="Aptos"/>
          <w:noProof w:val="0"/>
          <w:sz w:val="24"/>
          <w:szCs w:val="24"/>
          <w:lang w:val="es-CO"/>
        </w:rPr>
        <w:t>geoamenazas</w:t>
      </w:r>
      <w:r w:rsidRPr="018477EE" w:rsidR="3F5431C1">
        <w:rPr>
          <w:rFonts w:ascii="Aptos" w:hAnsi="Aptos" w:eastAsia="Aptos" w:cs="Aptos"/>
          <w:noProof w:val="0"/>
          <w:sz w:val="24"/>
          <w:szCs w:val="24"/>
          <w:lang w:val="es-CO"/>
        </w:rPr>
        <w:t xml:space="preserve">, fortalecimiento de sistemas de monitoreo y alerta, acompañamiento a entidades territoriales y articulación interinstitucional con mayor presencia en territorio. </w:t>
      </w:r>
    </w:p>
    <w:p w:rsidRPr="00ED36E1" w:rsidR="00ED36E1" w:rsidP="018477EE" w:rsidRDefault="00ED36E1" w14:paraId="4E0AD732" w14:textId="096048F0">
      <w:pPr>
        <w:spacing w:after="0" w:line="276" w:lineRule="auto"/>
        <w:jc w:val="both"/>
      </w:pPr>
      <w:r w:rsidRPr="018477EE" w:rsidR="3F5431C1">
        <w:rPr>
          <w:rFonts w:ascii="Aptos" w:hAnsi="Aptos" w:eastAsia="Aptos" w:cs="Aptos"/>
          <w:noProof w:val="0"/>
          <w:sz w:val="24"/>
          <w:szCs w:val="24"/>
          <w:lang w:val="es-CO"/>
        </w:rPr>
        <w:t xml:space="preserve"> </w:t>
      </w:r>
    </w:p>
    <w:p w:rsidRPr="00ED36E1" w:rsidR="00ED36E1" w:rsidP="018477EE" w:rsidRDefault="00ED36E1" w14:paraId="5F3894AB" w14:textId="306BB78B">
      <w:pPr>
        <w:spacing w:after="0" w:line="276" w:lineRule="auto"/>
        <w:jc w:val="both"/>
      </w:pPr>
      <w:r w:rsidRPr="018477EE" w:rsidR="3F5431C1">
        <w:rPr>
          <w:rFonts w:ascii="Aptos" w:hAnsi="Aptos" w:eastAsia="Aptos" w:cs="Aptos"/>
          <w:noProof w:val="0"/>
          <w:sz w:val="24"/>
          <w:szCs w:val="24"/>
          <w:lang w:val="es-CO"/>
        </w:rPr>
        <w:t xml:space="preserve">Se contribuyó a la seguridad hídrica, la adaptación al cambio climático y el ordenamiento territorial alrededor del agua, prioridad que se materializó en estudios hidrogeológicos aplicados, delimitación de acuíferos, diseño de la guía para la protección de zonas de recarga de acuíferos, apoyo a la formulación del plan nacional del agua y a iniciativas nacionales para el suministro de agua en regiones como La Guajira, fortaleciendo la gestión sostenible del agua. </w:t>
      </w:r>
    </w:p>
    <w:p w:rsidRPr="00ED36E1" w:rsidR="00ED36E1" w:rsidP="018477EE" w:rsidRDefault="00ED36E1" w14:paraId="29DCE198" w14:textId="46D93C80">
      <w:pPr>
        <w:spacing w:after="0" w:line="276" w:lineRule="auto"/>
        <w:jc w:val="both"/>
      </w:pPr>
      <w:r w:rsidRPr="018477EE" w:rsidR="3F5431C1">
        <w:rPr>
          <w:rFonts w:ascii="Aptos" w:hAnsi="Aptos" w:eastAsia="Aptos" w:cs="Aptos"/>
          <w:noProof w:val="0"/>
          <w:sz w:val="24"/>
          <w:szCs w:val="24"/>
          <w:lang w:val="es-CO"/>
        </w:rPr>
        <w:t>El fortalecimiento del conocimiento sobre el clima del pasado (paleoclima) se consolidó como un eje clave para comprender la variabilidad climática y enfrentar el cambio climático y  estudios para la transición energética justa relacionados con recursos  geotérmicos en áreas como Cerro Machín, Cerro Bravo y San Diego (Caldas), así como en la publicación del Mapa de Favorabilidad Geotérmica y el lanzamiento del Sistema de Información Geotérmica de Colombia, y con investigaciones asociadas hidrógeno natural, almacenamiento geológico de CO₂ aportando insumos técnicos para la diversificación de la matriz energética, la reindustrialización y el aprovechamiento responsable de los recursos del subsuelo. De manera complementaria, se desarrollaron investigaciones geoquímicas, geofísicas y metalogénicas en distintas regiones del país, fortaleciendo la identificación de minerales estratégicos y el conocimiento de su interacción con el ambiente, la salud humana y la seguridad alimentaria.</w:t>
      </w:r>
    </w:p>
    <w:p w:rsidRPr="00ED36E1" w:rsidR="00ED36E1" w:rsidP="018477EE" w:rsidRDefault="00ED36E1" w14:paraId="51A15212" w14:textId="37EA4AF2">
      <w:pPr>
        <w:spacing w:after="0" w:line="276" w:lineRule="auto"/>
        <w:jc w:val="both"/>
        <w:rPr>
          <w:rFonts w:ascii="Aptos" w:hAnsi="Aptos" w:eastAsia="Aptos" w:cs="Aptos"/>
          <w:noProof w:val="0"/>
          <w:sz w:val="24"/>
          <w:szCs w:val="24"/>
          <w:lang w:val="es-CO"/>
        </w:rPr>
      </w:pPr>
    </w:p>
    <w:p w:rsidRPr="00ED36E1" w:rsidR="00ED36E1" w:rsidP="00ED36E1" w:rsidRDefault="00ED36E1" w14:paraId="7A03AB2A" w14:textId="77293FF7">
      <w:pPr>
        <w:spacing w:after="0"/>
        <w:jc w:val="both"/>
        <w:rPr>
          <w:highlight w:val="yellow"/>
        </w:rPr>
      </w:pPr>
    </w:p>
    <w:sectPr w:rsidRPr="00ED36E1" w:rsidR="00ED36E1">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Pro">
    <w:charset w:val="00"/>
    <w:family w:val="swiss"/>
    <w:pitch w:val="variable"/>
    <w:sig w:usb0="80000287" w:usb1="0000004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B6ACA"/>
    <w:multiLevelType w:val="hybridMultilevel"/>
    <w:tmpl w:val="5DBEB6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F33082"/>
    <w:multiLevelType w:val="hybridMultilevel"/>
    <w:tmpl w:val="46A4534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463E7FC3"/>
    <w:multiLevelType w:val="hybridMultilevel"/>
    <w:tmpl w:val="E348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43588723">
    <w:abstractNumId w:val="0"/>
  </w:num>
  <w:num w:numId="2" w16cid:durableId="1679233577">
    <w:abstractNumId w:val="2"/>
  </w:num>
  <w:num w:numId="3" w16cid:durableId="236062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6E1"/>
    <w:rsid w:val="000F4409"/>
    <w:rsid w:val="00337043"/>
    <w:rsid w:val="0047675D"/>
    <w:rsid w:val="004A6FB9"/>
    <w:rsid w:val="004F55FE"/>
    <w:rsid w:val="00553AF8"/>
    <w:rsid w:val="005D1F97"/>
    <w:rsid w:val="00641637"/>
    <w:rsid w:val="00707512"/>
    <w:rsid w:val="00792BC2"/>
    <w:rsid w:val="008F0F29"/>
    <w:rsid w:val="009851C5"/>
    <w:rsid w:val="00A4499F"/>
    <w:rsid w:val="00B0061C"/>
    <w:rsid w:val="00C04209"/>
    <w:rsid w:val="00CF45DC"/>
    <w:rsid w:val="00D9577C"/>
    <w:rsid w:val="00E008C2"/>
    <w:rsid w:val="00E937ED"/>
    <w:rsid w:val="00EB4EAE"/>
    <w:rsid w:val="00ED36E1"/>
    <w:rsid w:val="00FC6340"/>
    <w:rsid w:val="018477EE"/>
    <w:rsid w:val="03318FF7"/>
    <w:rsid w:val="03EE3EA5"/>
    <w:rsid w:val="0654A56D"/>
    <w:rsid w:val="06B675C5"/>
    <w:rsid w:val="08D0181A"/>
    <w:rsid w:val="08DFDB8D"/>
    <w:rsid w:val="08E824A9"/>
    <w:rsid w:val="09C7FA01"/>
    <w:rsid w:val="0AA9E38E"/>
    <w:rsid w:val="0B63D49B"/>
    <w:rsid w:val="0C22467E"/>
    <w:rsid w:val="0C6ABFD5"/>
    <w:rsid w:val="0C8F0163"/>
    <w:rsid w:val="0C9959A8"/>
    <w:rsid w:val="0FCCC3A3"/>
    <w:rsid w:val="10FF9A58"/>
    <w:rsid w:val="111566A4"/>
    <w:rsid w:val="11B0738D"/>
    <w:rsid w:val="1243A405"/>
    <w:rsid w:val="13AC1E90"/>
    <w:rsid w:val="1576743B"/>
    <w:rsid w:val="16007035"/>
    <w:rsid w:val="162BC92A"/>
    <w:rsid w:val="164867E4"/>
    <w:rsid w:val="164EBC8A"/>
    <w:rsid w:val="165EDAE6"/>
    <w:rsid w:val="18207080"/>
    <w:rsid w:val="1A3A900C"/>
    <w:rsid w:val="1AA4B3F0"/>
    <w:rsid w:val="1AB3F5A3"/>
    <w:rsid w:val="1C3990B6"/>
    <w:rsid w:val="1DF530B9"/>
    <w:rsid w:val="1EFA813C"/>
    <w:rsid w:val="1FBB08D9"/>
    <w:rsid w:val="1FFD2C15"/>
    <w:rsid w:val="20DA9C81"/>
    <w:rsid w:val="217CC3FC"/>
    <w:rsid w:val="231785EA"/>
    <w:rsid w:val="23540648"/>
    <w:rsid w:val="26E663F3"/>
    <w:rsid w:val="280FB1A4"/>
    <w:rsid w:val="2817EF62"/>
    <w:rsid w:val="2AE3690F"/>
    <w:rsid w:val="2C20474A"/>
    <w:rsid w:val="2D8A312D"/>
    <w:rsid w:val="2DB38E96"/>
    <w:rsid w:val="2EBB5E70"/>
    <w:rsid w:val="2F439403"/>
    <w:rsid w:val="2FBA3053"/>
    <w:rsid w:val="304B8420"/>
    <w:rsid w:val="314C10F0"/>
    <w:rsid w:val="316D1096"/>
    <w:rsid w:val="3181AA20"/>
    <w:rsid w:val="32304CF1"/>
    <w:rsid w:val="32472B0E"/>
    <w:rsid w:val="339A1956"/>
    <w:rsid w:val="33D1324A"/>
    <w:rsid w:val="34A5E524"/>
    <w:rsid w:val="34B59684"/>
    <w:rsid w:val="35258197"/>
    <w:rsid w:val="352812E6"/>
    <w:rsid w:val="35E97182"/>
    <w:rsid w:val="36601876"/>
    <w:rsid w:val="36F46952"/>
    <w:rsid w:val="37B76EE1"/>
    <w:rsid w:val="397CC4DD"/>
    <w:rsid w:val="3A25C567"/>
    <w:rsid w:val="3B780EF5"/>
    <w:rsid w:val="3BF89873"/>
    <w:rsid w:val="3EDA695F"/>
    <w:rsid w:val="3EE05BAD"/>
    <w:rsid w:val="3F5431C1"/>
    <w:rsid w:val="40651026"/>
    <w:rsid w:val="41E46A1A"/>
    <w:rsid w:val="43435EFC"/>
    <w:rsid w:val="44C0A0F4"/>
    <w:rsid w:val="44EC3457"/>
    <w:rsid w:val="452BD533"/>
    <w:rsid w:val="45D8FC1A"/>
    <w:rsid w:val="45DE8912"/>
    <w:rsid w:val="45FF7788"/>
    <w:rsid w:val="46395B53"/>
    <w:rsid w:val="47A04449"/>
    <w:rsid w:val="49667419"/>
    <w:rsid w:val="49EE0199"/>
    <w:rsid w:val="4A744373"/>
    <w:rsid w:val="4B03E676"/>
    <w:rsid w:val="4B52460D"/>
    <w:rsid w:val="4BECF800"/>
    <w:rsid w:val="4CF062BC"/>
    <w:rsid w:val="4D5754CD"/>
    <w:rsid w:val="4D5BEF8D"/>
    <w:rsid w:val="4E417DE9"/>
    <w:rsid w:val="4E4763E9"/>
    <w:rsid w:val="4E69ECB9"/>
    <w:rsid w:val="4EF5E344"/>
    <w:rsid w:val="508ABA88"/>
    <w:rsid w:val="5191233E"/>
    <w:rsid w:val="5258F111"/>
    <w:rsid w:val="5275478D"/>
    <w:rsid w:val="52FA0619"/>
    <w:rsid w:val="53289C99"/>
    <w:rsid w:val="5441FE87"/>
    <w:rsid w:val="546F9132"/>
    <w:rsid w:val="5474C545"/>
    <w:rsid w:val="548639D7"/>
    <w:rsid w:val="56D23593"/>
    <w:rsid w:val="57C50FE4"/>
    <w:rsid w:val="5908C915"/>
    <w:rsid w:val="5C94268F"/>
    <w:rsid w:val="5EB1D7EB"/>
    <w:rsid w:val="610ABD23"/>
    <w:rsid w:val="629C3909"/>
    <w:rsid w:val="642C6CE7"/>
    <w:rsid w:val="649A5DD3"/>
    <w:rsid w:val="670606C8"/>
    <w:rsid w:val="676C0981"/>
    <w:rsid w:val="67A2DAF8"/>
    <w:rsid w:val="68FCA3C3"/>
    <w:rsid w:val="6A492E81"/>
    <w:rsid w:val="6B5AB777"/>
    <w:rsid w:val="6CC70A76"/>
    <w:rsid w:val="6D2E8C8B"/>
    <w:rsid w:val="6E95E530"/>
    <w:rsid w:val="6F2BB627"/>
    <w:rsid w:val="700A36EF"/>
    <w:rsid w:val="704FDB75"/>
    <w:rsid w:val="71F58ACA"/>
    <w:rsid w:val="737B38D7"/>
    <w:rsid w:val="7456573F"/>
    <w:rsid w:val="74867A62"/>
    <w:rsid w:val="751A9D43"/>
    <w:rsid w:val="757782E4"/>
    <w:rsid w:val="76FB882E"/>
    <w:rsid w:val="7707B652"/>
    <w:rsid w:val="77A18C7C"/>
    <w:rsid w:val="77A5DF29"/>
    <w:rsid w:val="796FE560"/>
    <w:rsid w:val="7983F7BB"/>
    <w:rsid w:val="79E80ADF"/>
    <w:rsid w:val="7A8CAED4"/>
    <w:rsid w:val="7BA3FDDE"/>
    <w:rsid w:val="7CD57670"/>
    <w:rsid w:val="7D1E7094"/>
    <w:rsid w:val="7D4E0427"/>
    <w:rsid w:val="7D7B8AE5"/>
    <w:rsid w:val="7D7D1FD6"/>
    <w:rsid w:val="7DF89E5A"/>
    <w:rsid w:val="7E276490"/>
    <w:rsid w:val="7E28A58E"/>
    <w:rsid w:val="7ED825E0"/>
    <w:rsid w:val="7F6958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2401"/>
  <w15:chartTrackingRefBased/>
  <w15:docId w15:val="{F926B1C9-50AD-4EE4-865D-2F64DDFD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ED36E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ED36E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rsid w:val="00ED36E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ED36E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ED36E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D36E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D36E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D36E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D36E1"/>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ED36E1"/>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sid w:val="00ED36E1"/>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rsid w:val="00ED36E1"/>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rsid w:val="00ED36E1"/>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rsid w:val="00ED36E1"/>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ED36E1"/>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ED36E1"/>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ED36E1"/>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ED36E1"/>
    <w:rPr>
      <w:rFonts w:eastAsiaTheme="majorEastAsia" w:cstheme="majorBidi"/>
      <w:color w:val="272727" w:themeColor="text1" w:themeTint="D8"/>
    </w:rPr>
  </w:style>
  <w:style w:type="paragraph" w:styleId="Ttulo">
    <w:name w:val="Title"/>
    <w:basedOn w:val="Normal"/>
    <w:next w:val="Normal"/>
    <w:link w:val="TtuloCar"/>
    <w:uiPriority w:val="10"/>
    <w:qFormat/>
    <w:rsid w:val="00ED36E1"/>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ED36E1"/>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ED36E1"/>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ED36E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D36E1"/>
    <w:pPr>
      <w:spacing w:before="160"/>
      <w:jc w:val="center"/>
    </w:pPr>
    <w:rPr>
      <w:i/>
      <w:iCs/>
      <w:color w:val="404040" w:themeColor="text1" w:themeTint="BF"/>
    </w:rPr>
  </w:style>
  <w:style w:type="character" w:styleId="CitaCar" w:customStyle="1">
    <w:name w:val="Cita Car"/>
    <w:basedOn w:val="Fuentedeprrafopredeter"/>
    <w:link w:val="Cita"/>
    <w:uiPriority w:val="29"/>
    <w:rsid w:val="00ED36E1"/>
    <w:rPr>
      <w:i/>
      <w:iCs/>
      <w:color w:val="404040" w:themeColor="text1" w:themeTint="BF"/>
    </w:rPr>
  </w:style>
  <w:style w:type="paragraph" w:styleId="Prrafodelista">
    <w:name w:val="List Paragraph"/>
    <w:basedOn w:val="Normal"/>
    <w:uiPriority w:val="34"/>
    <w:qFormat/>
    <w:rsid w:val="00ED36E1"/>
    <w:pPr>
      <w:ind w:left="720"/>
      <w:contextualSpacing/>
    </w:pPr>
  </w:style>
  <w:style w:type="character" w:styleId="nfasisintenso">
    <w:name w:val="Intense Emphasis"/>
    <w:basedOn w:val="Fuentedeprrafopredeter"/>
    <w:uiPriority w:val="21"/>
    <w:qFormat/>
    <w:rsid w:val="00ED36E1"/>
    <w:rPr>
      <w:i/>
      <w:iCs/>
      <w:color w:val="0F4761" w:themeColor="accent1" w:themeShade="BF"/>
    </w:rPr>
  </w:style>
  <w:style w:type="paragraph" w:styleId="Citadestacada">
    <w:name w:val="Intense Quote"/>
    <w:basedOn w:val="Normal"/>
    <w:next w:val="Normal"/>
    <w:link w:val="CitadestacadaCar"/>
    <w:uiPriority w:val="30"/>
    <w:qFormat/>
    <w:rsid w:val="00ED36E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ED36E1"/>
    <w:rPr>
      <w:i/>
      <w:iCs/>
      <w:color w:val="0F4761" w:themeColor="accent1" w:themeShade="BF"/>
    </w:rPr>
  </w:style>
  <w:style w:type="character" w:styleId="Referenciaintensa">
    <w:name w:val="Intense Reference"/>
    <w:basedOn w:val="Fuentedeprrafopredeter"/>
    <w:uiPriority w:val="32"/>
    <w:qFormat/>
    <w:rsid w:val="00ED36E1"/>
    <w:rPr>
      <w:b/>
      <w:bCs/>
      <w:smallCaps/>
      <w:color w:val="0F4761" w:themeColor="accent1" w:themeShade="BF"/>
      <w:spacing w:val="5"/>
    </w:rPr>
  </w:style>
  <w:style w:type="numbering" w:styleId="Sinlista1" w:customStyle="1">
    <w:name w:val="Sin lista1"/>
    <w:next w:val="Sinlista"/>
    <w:uiPriority w:val="99"/>
    <w:semiHidden/>
    <w:unhideWhenUsed/>
    <w:rsid w:val="00ED36E1"/>
  </w:style>
  <w:style w:type="paragraph" w:styleId="Encabezado">
    <w:name w:val="header"/>
    <w:basedOn w:val="Normal"/>
    <w:link w:val="EncabezadoCar"/>
    <w:uiPriority w:val="99"/>
    <w:unhideWhenUsed/>
    <w:rsid w:val="00ED36E1"/>
    <w:pPr>
      <w:tabs>
        <w:tab w:val="center" w:pos="4419"/>
        <w:tab w:val="right" w:pos="8838"/>
      </w:tabs>
      <w:spacing w:after="0" w:line="240" w:lineRule="auto"/>
      <w:jc w:val="both"/>
    </w:pPr>
  </w:style>
  <w:style w:type="character" w:styleId="EncabezadoCar" w:customStyle="1">
    <w:name w:val="Encabezado Car"/>
    <w:basedOn w:val="Fuentedeprrafopredeter"/>
    <w:link w:val="Encabezado"/>
    <w:uiPriority w:val="99"/>
    <w:rsid w:val="00ED36E1"/>
  </w:style>
  <w:style w:type="paragraph" w:styleId="Piedepgina">
    <w:name w:val="footer"/>
    <w:basedOn w:val="Normal"/>
    <w:link w:val="PiedepginaCar"/>
    <w:uiPriority w:val="99"/>
    <w:unhideWhenUsed/>
    <w:rsid w:val="00ED36E1"/>
    <w:pPr>
      <w:tabs>
        <w:tab w:val="center" w:pos="4419"/>
        <w:tab w:val="right" w:pos="8838"/>
      </w:tabs>
      <w:spacing w:after="0" w:line="240" w:lineRule="auto"/>
      <w:jc w:val="both"/>
    </w:pPr>
  </w:style>
  <w:style w:type="character" w:styleId="PiedepginaCar" w:customStyle="1">
    <w:name w:val="Pie de página Car"/>
    <w:basedOn w:val="Fuentedeprrafopredeter"/>
    <w:link w:val="Piedepgina"/>
    <w:uiPriority w:val="99"/>
    <w:rsid w:val="00ED36E1"/>
  </w:style>
  <w:style w:type="table" w:styleId="Tablaconcuadrcula">
    <w:name w:val="Table Grid"/>
    <w:basedOn w:val="Tablanormal"/>
    <w:uiPriority w:val="39"/>
    <w:rsid w:val="00ED36E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delista7concolores-nfasis1">
    <w:name w:val="List Table 7 Colorful Accent 1"/>
    <w:basedOn w:val="Tablanormal"/>
    <w:uiPriority w:val="52"/>
    <w:rsid w:val="00ED36E1"/>
    <w:pPr>
      <w:spacing w:after="0" w:line="240" w:lineRule="auto"/>
    </w:pPr>
    <w:rPr>
      <w:color w:val="0F4761"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156082"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156082"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156082"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156082" w:themeColor="accent1" w:sz="4" w:space="0"/>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1">
    <w:name w:val="Grid Table 4 Accent 1"/>
    <w:basedOn w:val="Tablanormal"/>
    <w:uiPriority w:val="49"/>
    <w:rsid w:val="00ED36E1"/>
    <w:pPr>
      <w:spacing w:after="0" w:line="240" w:lineRule="auto"/>
    </w:p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Ttulodellibro">
    <w:name w:val="Book Title"/>
    <w:basedOn w:val="Fuentedeprrafopredeter"/>
    <w:uiPriority w:val="33"/>
    <w:qFormat/>
    <w:rsid w:val="00ED36E1"/>
    <w:rPr>
      <w:rFonts w:ascii="Verdana" w:hAnsi="Verdana"/>
      <w:b/>
      <w:bCs/>
      <w:i w:val="0"/>
      <w:iCs/>
      <w:color w:val="124F1A" w:themeColor="accent3" w:themeShade="BF"/>
      <w:spacing w:val="5"/>
      <w:sz w:val="28"/>
    </w:rPr>
  </w:style>
  <w:style w:type="paragraph" w:styleId="TDC1">
    <w:name w:val="toc 1"/>
    <w:basedOn w:val="Normal"/>
    <w:next w:val="Normal"/>
    <w:autoRedefine/>
    <w:uiPriority w:val="39"/>
    <w:unhideWhenUsed/>
    <w:rsid w:val="00ED36E1"/>
    <w:pPr>
      <w:spacing w:after="100"/>
      <w:jc w:val="both"/>
    </w:pPr>
  </w:style>
  <w:style w:type="character" w:styleId="Hipervnculo">
    <w:name w:val="Hyperlink"/>
    <w:basedOn w:val="Fuentedeprrafopredeter"/>
    <w:uiPriority w:val="99"/>
    <w:unhideWhenUsed/>
    <w:rsid w:val="00ED36E1"/>
    <w:rPr>
      <w:color w:val="467886" w:themeColor="hyperlink"/>
      <w:u w:val="single"/>
    </w:rPr>
  </w:style>
  <w:style w:type="paragraph" w:styleId="TDC2">
    <w:name w:val="toc 2"/>
    <w:basedOn w:val="Normal"/>
    <w:next w:val="Normal"/>
    <w:autoRedefine/>
    <w:uiPriority w:val="39"/>
    <w:unhideWhenUsed/>
    <w:rsid w:val="00ED36E1"/>
    <w:pPr>
      <w:spacing w:after="100"/>
      <w:ind w:left="240"/>
      <w:jc w:val="both"/>
    </w:pPr>
  </w:style>
  <w:style w:type="paragraph" w:styleId="TDC3">
    <w:name w:val="toc 3"/>
    <w:basedOn w:val="Normal"/>
    <w:next w:val="Normal"/>
    <w:autoRedefine/>
    <w:uiPriority w:val="39"/>
    <w:unhideWhenUsed/>
    <w:rsid w:val="00ED36E1"/>
    <w:pPr>
      <w:spacing w:after="100"/>
      <w:ind w:left="480"/>
      <w:jc w:val="both"/>
    </w:pPr>
  </w:style>
  <w:style w:type="paragraph" w:styleId="TDC4">
    <w:name w:val="toc 4"/>
    <w:basedOn w:val="Normal"/>
    <w:next w:val="Normal"/>
    <w:autoRedefine/>
    <w:uiPriority w:val="39"/>
    <w:unhideWhenUsed/>
    <w:rsid w:val="00ED36E1"/>
    <w:pPr>
      <w:spacing w:after="100"/>
      <w:ind w:left="720"/>
      <w:jc w:val="both"/>
    </w:pPr>
  </w:style>
  <w:style w:type="paragraph" w:styleId="TDC5">
    <w:name w:val="toc 5"/>
    <w:basedOn w:val="Normal"/>
    <w:next w:val="Normal"/>
    <w:autoRedefine/>
    <w:uiPriority w:val="39"/>
    <w:unhideWhenUsed/>
    <w:rsid w:val="00ED36E1"/>
    <w:pPr>
      <w:spacing w:after="100"/>
      <w:ind w:left="960"/>
      <w:jc w:val="both"/>
    </w:pPr>
  </w:style>
  <w:style w:type="paragraph" w:styleId="TDC6">
    <w:name w:val="toc 6"/>
    <w:basedOn w:val="Normal"/>
    <w:next w:val="Normal"/>
    <w:autoRedefine/>
    <w:uiPriority w:val="39"/>
    <w:unhideWhenUsed/>
    <w:rsid w:val="00ED36E1"/>
    <w:pPr>
      <w:spacing w:after="100"/>
      <w:ind w:left="1200"/>
      <w:jc w:val="both"/>
    </w:pPr>
    <w:rPr>
      <w:rFonts w:eastAsiaTheme="minorEastAsia"/>
      <w:lang w:eastAsia="es-CO"/>
    </w:rPr>
  </w:style>
  <w:style w:type="paragraph" w:styleId="TDC7">
    <w:name w:val="toc 7"/>
    <w:basedOn w:val="Normal"/>
    <w:next w:val="Normal"/>
    <w:autoRedefine/>
    <w:uiPriority w:val="39"/>
    <w:unhideWhenUsed/>
    <w:rsid w:val="00ED36E1"/>
    <w:pPr>
      <w:spacing w:after="100"/>
      <w:ind w:left="1440"/>
      <w:jc w:val="both"/>
    </w:pPr>
    <w:rPr>
      <w:rFonts w:eastAsiaTheme="minorEastAsia"/>
      <w:lang w:eastAsia="es-CO"/>
    </w:rPr>
  </w:style>
  <w:style w:type="paragraph" w:styleId="TDC8">
    <w:name w:val="toc 8"/>
    <w:basedOn w:val="Normal"/>
    <w:next w:val="Normal"/>
    <w:autoRedefine/>
    <w:uiPriority w:val="39"/>
    <w:unhideWhenUsed/>
    <w:rsid w:val="00ED36E1"/>
    <w:pPr>
      <w:spacing w:after="100"/>
      <w:ind w:left="1680"/>
      <w:jc w:val="both"/>
    </w:pPr>
    <w:rPr>
      <w:rFonts w:eastAsiaTheme="minorEastAsia"/>
      <w:lang w:eastAsia="es-CO"/>
    </w:rPr>
  </w:style>
  <w:style w:type="paragraph" w:styleId="TDC9">
    <w:name w:val="toc 9"/>
    <w:basedOn w:val="Normal"/>
    <w:next w:val="Normal"/>
    <w:autoRedefine/>
    <w:uiPriority w:val="39"/>
    <w:unhideWhenUsed/>
    <w:rsid w:val="00ED36E1"/>
    <w:pPr>
      <w:spacing w:after="100"/>
      <w:ind w:left="1920"/>
      <w:jc w:val="both"/>
    </w:pPr>
    <w:rPr>
      <w:rFonts w:eastAsiaTheme="minorEastAsia"/>
      <w:lang w:eastAsia="es-CO"/>
    </w:rPr>
  </w:style>
  <w:style w:type="character" w:styleId="Mencinsinresolver">
    <w:name w:val="Unresolved Mention"/>
    <w:basedOn w:val="Fuentedeprrafopredeter"/>
    <w:uiPriority w:val="99"/>
    <w:semiHidden/>
    <w:unhideWhenUsed/>
    <w:rsid w:val="00ED36E1"/>
    <w:rPr>
      <w:color w:val="605E5C"/>
      <w:shd w:val="clear" w:color="auto" w:fill="E1DFDD"/>
    </w:rPr>
  </w:style>
  <w:style w:type="paragraph" w:styleId="Grfica" w:customStyle="1">
    <w:name w:val="Gráfica"/>
    <w:basedOn w:val="Normal"/>
    <w:next w:val="Normal"/>
    <w:link w:val="GrficaCar"/>
    <w:autoRedefine/>
    <w:qFormat/>
    <w:rsid w:val="00ED36E1"/>
    <w:pPr>
      <w:spacing w:after="0"/>
      <w:jc w:val="both"/>
    </w:pPr>
    <w:rPr>
      <w:b/>
      <w:bCs/>
    </w:rPr>
  </w:style>
  <w:style w:type="character" w:styleId="GrficaCar" w:customStyle="1">
    <w:name w:val="Gráfica Car"/>
    <w:basedOn w:val="Fuentedeprrafopredeter"/>
    <w:link w:val="Grfica"/>
    <w:rsid w:val="00ED36E1"/>
    <w:rPr>
      <w:b/>
      <w:bCs/>
    </w:rPr>
  </w:style>
  <w:style w:type="paragraph" w:styleId="Pieycitas" w:customStyle="1">
    <w:name w:val="Pie y citas"/>
    <w:basedOn w:val="Normal"/>
    <w:link w:val="PieycitasCar"/>
    <w:qFormat/>
    <w:rsid w:val="00ED36E1"/>
    <w:pPr>
      <w:spacing w:after="0" w:line="276" w:lineRule="auto"/>
      <w:jc w:val="both"/>
    </w:pPr>
    <w:rPr>
      <w:rFonts w:eastAsia="SimSun" w:cs="Arial" w:asciiTheme="majorHAnsi" w:hAnsiTheme="majorHAnsi"/>
      <w:kern w:val="0"/>
      <w:sz w:val="18"/>
      <w:szCs w:val="40"/>
      <w14:ligatures w14:val="none"/>
    </w:rPr>
  </w:style>
  <w:style w:type="character" w:styleId="PieycitasCar" w:customStyle="1">
    <w:name w:val="Pie y citas Car"/>
    <w:basedOn w:val="Fuentedeprrafopredeter"/>
    <w:link w:val="Pieycitas"/>
    <w:rsid w:val="00ED36E1"/>
    <w:rPr>
      <w:rFonts w:eastAsia="SimSun" w:cs="Arial" w:asciiTheme="majorHAnsi" w:hAnsiTheme="majorHAnsi"/>
      <w:kern w:val="0"/>
      <w:sz w:val="18"/>
      <w:szCs w:val="40"/>
      <w14:ligatures w14:val="none"/>
    </w:rPr>
  </w:style>
  <w:style w:type="paragraph" w:styleId="Tablasfiguras" w:customStyle="1">
    <w:name w:val="Tablas figuras"/>
    <w:basedOn w:val="Normal"/>
    <w:link w:val="TablasfigurasCar"/>
    <w:qFormat/>
    <w:rsid w:val="00ED36E1"/>
    <w:pPr>
      <w:spacing w:after="0" w:line="259" w:lineRule="auto"/>
      <w:jc w:val="both"/>
    </w:pPr>
    <w:rPr>
      <w:rFonts w:ascii="Verdana Pro" w:hAnsi="Verdana Pro" w:cs="Arial"/>
      <w:b/>
      <w:color w:val="1F4E79"/>
      <w:kern w:val="0"/>
      <w:sz w:val="16"/>
      <w:szCs w:val="22"/>
      <w14:textFill>
        <w14:solidFill>
          <w14:srgbClr w14:val="1F4E79">
            <w14:lumMod w14:val="95000"/>
            <w14:lumOff w14:val="5000"/>
            <w14:lumMod w14:val="85000"/>
            <w14:lumOff w14:val="15000"/>
          </w14:srgbClr>
        </w14:solidFill>
      </w14:textFill>
      <w14:ligatures w14:val="none"/>
    </w:rPr>
  </w:style>
  <w:style w:type="character" w:styleId="TablasfigurasCar" w:customStyle="1">
    <w:name w:val="Tablas figuras Car"/>
    <w:basedOn w:val="Fuentedeprrafopredeter"/>
    <w:link w:val="Tablasfiguras"/>
    <w:rsid w:val="00ED36E1"/>
    <w:rPr>
      <w:rFonts w:ascii="Verdana Pro" w:hAnsi="Verdana Pro" w:cs="Arial"/>
      <w:b/>
      <w:color w:val="1F4E79"/>
      <w:kern w:val="0"/>
      <w:sz w:val="16"/>
      <w:szCs w:val="22"/>
      <w14:textFill>
        <w14:solidFill>
          <w14:srgbClr w14:val="1F4E79">
            <w14:lumMod w14:val="95000"/>
            <w14:lumOff w14:val="5000"/>
            <w14:lumMod w14:val="85000"/>
            <w14:lumOff w14:val="15000"/>
          </w14:srgbClr>
        </w14:solidFill>
      </w14:textFill>
      <w14:ligatures w14:val="none"/>
    </w:rPr>
  </w:style>
  <w:style w:type="paragraph" w:styleId="Descripcin">
    <w:name w:val="caption"/>
    <w:basedOn w:val="Normal"/>
    <w:next w:val="Normal"/>
    <w:uiPriority w:val="35"/>
    <w:unhideWhenUsed/>
    <w:qFormat/>
    <w:rsid w:val="00ED36E1"/>
    <w:pPr>
      <w:spacing w:after="200" w:line="240" w:lineRule="auto"/>
      <w:jc w:val="both"/>
    </w:pPr>
    <w:rPr>
      <w:i/>
      <w:iCs/>
      <w:color w:val="0E2841" w:themeColor="text2"/>
      <w:sz w:val="18"/>
      <w:szCs w:val="18"/>
    </w:rPr>
  </w:style>
  <w:style w:type="paragraph" w:styleId="Textonotapie">
    <w:name w:val="footnote text"/>
    <w:basedOn w:val="Normal"/>
    <w:link w:val="TextonotapieCar"/>
    <w:uiPriority w:val="99"/>
    <w:semiHidden/>
    <w:unhideWhenUsed/>
    <w:rsid w:val="00ED36E1"/>
    <w:pPr>
      <w:spacing w:after="0" w:line="240" w:lineRule="auto"/>
      <w:jc w:val="both"/>
    </w:pPr>
    <w:rPr>
      <w:sz w:val="20"/>
      <w:szCs w:val="20"/>
    </w:rPr>
  </w:style>
  <w:style w:type="character" w:styleId="TextonotapieCar" w:customStyle="1">
    <w:name w:val="Texto nota pie Car"/>
    <w:basedOn w:val="Fuentedeprrafopredeter"/>
    <w:link w:val="Textonotapie"/>
    <w:uiPriority w:val="99"/>
    <w:semiHidden/>
    <w:rsid w:val="00ED36E1"/>
    <w:rPr>
      <w:sz w:val="20"/>
      <w:szCs w:val="20"/>
    </w:rPr>
  </w:style>
  <w:style w:type="character" w:styleId="Refdenotaalpie">
    <w:name w:val="footnote reference"/>
    <w:basedOn w:val="Fuentedeprrafopredeter"/>
    <w:uiPriority w:val="99"/>
    <w:semiHidden/>
    <w:unhideWhenUsed/>
    <w:rsid w:val="00ED36E1"/>
    <w:rPr>
      <w:vertAlign w:val="superscript"/>
    </w:rPr>
  </w:style>
  <w:style w:type="paragraph" w:styleId="xl106" w:customStyle="1">
    <w:name w:val="xl106"/>
    <w:basedOn w:val="Normal"/>
    <w:rsid w:val="00ED36E1"/>
    <w:pPr>
      <w:spacing w:before="100" w:beforeAutospacing="1" w:after="100" w:afterAutospacing="1" w:line="240" w:lineRule="auto"/>
      <w:textAlignment w:val="center"/>
    </w:pPr>
    <w:rPr>
      <w:rFonts w:ascii="Aptos Display" w:hAnsi="Aptos Display" w:eastAsia="Times New Roman" w:cs="Times New Roman"/>
      <w:kern w:val="0"/>
      <w:sz w:val="16"/>
      <w:szCs w:val="16"/>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svg" Id="rId6" /><Relationship Type="http://schemas.openxmlformats.org/officeDocument/2006/relationships/customXml" Target="../customXml/item3.xml" Id="rId11" /><Relationship Type="http://schemas.openxmlformats.org/officeDocument/2006/relationships/image" Target="media/image1.png"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4CBE6C9FAF5A479774495ED2183D4C" ma:contentTypeVersion="20" ma:contentTypeDescription="Create a new document." ma:contentTypeScope="" ma:versionID="3cddfdfac95e99ab849c084b0320a2a8">
  <xsd:schema xmlns:xsd="http://www.w3.org/2001/XMLSchema" xmlns:xs="http://www.w3.org/2001/XMLSchema" xmlns:p="http://schemas.microsoft.com/office/2006/metadata/properties" xmlns:ns2="05a07e73-2b12-4e4a-bfb3-98b57966b8ac" xmlns:ns3="cc82e9d6-2370-40db-8013-41be2f7f55ee" targetNamespace="http://schemas.microsoft.com/office/2006/metadata/properties" ma:root="true" ma:fieldsID="a7c734955437d8273e0ea9f6864b5c01" ns2:_="" ns3:_="">
    <xsd:import namespace="05a07e73-2b12-4e4a-bfb3-98b57966b8ac"/>
    <xsd:import namespace="cc82e9d6-2370-40db-8013-41be2f7f55e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element ref="ns2:MediaServiceLocation" minOccurs="0"/>
                <xsd:element ref="ns2:Link"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07e73-2b12-4e4a-bfb3-98b57966b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82e9d6-2370-40db-8013-41be2f7f55e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bba325a-c966-41d2-b1c5-f3982d74559f}" ma:internalName="TaxCatchAll" ma:showField="CatchAllData" ma:web="cc82e9d6-2370-40db-8013-41be2f7f55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a07e73-2b12-4e4a-bfb3-98b57966b8ac">
      <Terms xmlns="http://schemas.microsoft.com/office/infopath/2007/PartnerControls"/>
    </lcf76f155ced4ddcb4097134ff3c332f>
    <Link xmlns="05a07e73-2b12-4e4a-bfb3-98b57966b8ac">
      <Url xsi:nil="true"/>
      <Description xsi:nil="true"/>
    </Link>
    <TaxCatchAll xmlns="cc82e9d6-2370-40db-8013-41be2f7f55ee" xsi:nil="true"/>
  </documentManagement>
</p:properties>
</file>

<file path=customXml/itemProps1.xml><?xml version="1.0" encoding="utf-8"?>
<ds:datastoreItem xmlns:ds="http://schemas.openxmlformats.org/officeDocument/2006/customXml" ds:itemID="{854AC11C-2370-413E-8E4E-3FFD59B17B03}"/>
</file>

<file path=customXml/itemProps2.xml><?xml version="1.0" encoding="utf-8"?>
<ds:datastoreItem xmlns:ds="http://schemas.openxmlformats.org/officeDocument/2006/customXml" ds:itemID="{12409BB0-A4BC-4AA0-B359-4D65C2737F5C}"/>
</file>

<file path=customXml/itemProps3.xml><?xml version="1.0" encoding="utf-8"?>
<ds:datastoreItem xmlns:ds="http://schemas.openxmlformats.org/officeDocument/2006/customXml" ds:itemID="{FD91C3C6-1FCD-47F2-A762-3370F2221CE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Ministerio de Hacienda y Credito Publico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Adriana Isabel Hernandez Gil</dc:creator>
  <keywords/>
  <dc:description/>
  <lastModifiedBy>CATALINA VALENCIA CASTELLANOS</lastModifiedBy>
  <revision>6</revision>
  <dcterms:created xsi:type="dcterms:W3CDTF">2026-05-22T16:25:00.0000000Z</dcterms:created>
  <dcterms:modified xsi:type="dcterms:W3CDTF">2026-05-25T22:46:23.6726642Z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8df7776-e5f5-4078-9516-d2377d5cadb2_Enabled">
    <vt:lpwstr>true</vt:lpwstr>
  </property>
  <property fmtid="{D5CDD505-2E9C-101B-9397-08002B2CF9AE}" pid="3" name="MSIP_Label_08df7776-e5f5-4078-9516-d2377d5cadb2_SetDate">
    <vt:lpwstr>2026-05-14T16:32:58Z</vt:lpwstr>
  </property>
  <property fmtid="{D5CDD505-2E9C-101B-9397-08002B2CF9AE}" pid="4" name="MSIP_Label_08df7776-e5f5-4078-9516-d2377d5cadb2_Method">
    <vt:lpwstr>Privileged</vt:lpwstr>
  </property>
  <property fmtid="{D5CDD505-2E9C-101B-9397-08002B2CF9AE}" pid="5" name="MSIP_Label_08df7776-e5f5-4078-9516-d2377d5cadb2_Name">
    <vt:lpwstr>Externa</vt:lpwstr>
  </property>
  <property fmtid="{D5CDD505-2E9C-101B-9397-08002B2CF9AE}" pid="6" name="MSIP_Label_08df7776-e5f5-4078-9516-d2377d5cadb2_SiteId">
    <vt:lpwstr>b4ea60d8-be49-40bc-98c4-18c43bfd721e</vt:lpwstr>
  </property>
  <property fmtid="{D5CDD505-2E9C-101B-9397-08002B2CF9AE}" pid="7" name="MSIP_Label_08df7776-e5f5-4078-9516-d2377d5cadb2_ActionId">
    <vt:lpwstr>6e531788-232a-42c1-8218-a65ea4eb6492</vt:lpwstr>
  </property>
  <property fmtid="{D5CDD505-2E9C-101B-9397-08002B2CF9AE}" pid="8" name="MSIP_Label_08df7776-e5f5-4078-9516-d2377d5cadb2_ContentBits">
    <vt:lpwstr>0</vt:lpwstr>
  </property>
  <property fmtid="{D5CDD505-2E9C-101B-9397-08002B2CF9AE}" pid="9" name="MSIP_Label_08df7776-e5f5-4078-9516-d2377d5cadb2_Tag">
    <vt:lpwstr>10, 0, 1, 1</vt:lpwstr>
  </property>
  <property fmtid="{D5CDD505-2E9C-101B-9397-08002B2CF9AE}" pid="10" name="ContentTypeId">
    <vt:lpwstr>0x010100104CBE6C9FAF5A479774495ED2183D4C</vt:lpwstr>
  </property>
  <property fmtid="{D5CDD505-2E9C-101B-9397-08002B2CF9AE}" pid="11" name="MediaServiceImageTags">
    <vt:lpwstr/>
  </property>
</Properties>
</file>